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9. Assignment</w:t>
      </w:r>
    </w:p>
    <w:p/>
    <w:p>
      <w:r>
        <w:drawing>
          <wp:inline xmlns:a="http://schemas.openxmlformats.org/drawingml/2006/main" xmlns:pic="http://schemas.openxmlformats.org/drawingml/2006/picture">
            <wp:extent cx="5486400" cy="7758579"/>
            <wp:docPr id="890340820" name="Picture 890340820"/>
            <wp:cNvGraphicFramePr>
              <a:graphicFrameLocks noChangeAspect="1"/>
            </wp:cNvGraphicFramePr>
            <a:graphic>
              <a:graphicData uri="http://schemas.openxmlformats.org/drawingml/2006/picture">
                <pic:pic>
                  <pic:nvPicPr>
                    <pic:cNvPr id="0" name="temp_assignment_page_0_38539ac1-da2f-49c3-ac15-e7e012bb3c93.png"/>
                    <pic:cNvPicPr/>
                  </pic:nvPicPr>
                  <pic:blipFill>
                    <a:blip r:embed="rId16"/>
                    <a:stretch>
                      <a:fillRect/>
                    </a:stretch>
                  </pic:blipFill>
                  <pic:spPr>
                    <a:xfrm>
                      <a:off x="0" y="0"/>
                      <a:ext cx="5486400" cy="7758579"/>
                    </a:xfrm>
                    <a:prstGeom prst="rect"/>
                  </pic:spPr>
                </pic:pic>
              </a:graphicData>
            </a:graphic>
          </wp:inline>
        </w:drawing>
      </w:r>
    </w:p>
    <w:p>
      <w:r>
        <w:br w:type="page"/>
      </w:r>
    </w:p>
    <w:p>
      <w:r>
        <w:drawing>
          <wp:inline xmlns:a="http://schemas.openxmlformats.org/drawingml/2006/main" xmlns:pic="http://schemas.openxmlformats.org/drawingml/2006/picture">
            <wp:extent cx="5486400" cy="7758579"/>
            <wp:docPr id="890340821" name="Picture 890340821"/>
            <wp:cNvGraphicFramePr>
              <a:graphicFrameLocks noChangeAspect="1"/>
            </wp:cNvGraphicFramePr>
            <a:graphic>
              <a:graphicData uri="http://schemas.openxmlformats.org/drawingml/2006/picture">
                <pic:pic>
                  <pic:nvPicPr>
                    <pic:cNvPr id="0" name="temp_assignment_page_1_013356e0-ed76-482d-828c-71b2f9a68296.png"/>
                    <pic:cNvPicPr/>
                  </pic:nvPicPr>
                  <pic:blipFill>
                    <a:blip r:embed="rId17"/>
                    <a:stretch>
                      <a:fillRect/>
                    </a:stretch>
                  </pic:blipFill>
                  <pic:spPr>
                    <a:xfrm>
                      <a:off x="0" y="0"/>
                      <a:ext cx="5486400" cy="7758579"/>
                    </a:xfrm>
                    <a:prstGeom prst="rect"/>
                  </pic:spPr>
                </pic:pic>
              </a:graphicData>
            </a:graphic>
          </wp:inline>
        </w:drawing>
      </w:r>
    </w:p>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12. Assignment PDF</w:t>
      </w:r>
    </w:p>
    <w:p>
      <w:pPr>
        <w:jc w:val="center"/>
      </w:pPr>
      <w:r>
        <w:drawing>
          <wp:inline xmlns:a="http://schemas.openxmlformats.org/drawingml/2006/main" xmlns:pic="http://schemas.openxmlformats.org/drawingml/2006/picture">
            <wp:extent cx="5486400" cy="7758579"/>
            <wp:docPr id="890340822" name="Picture 890340822"/>
            <wp:cNvGraphicFramePr>
              <a:graphicFrameLocks noChangeAspect="1"/>
            </wp:cNvGraphicFramePr>
            <a:graphic>
              <a:graphicData uri="http://schemas.openxmlformats.org/drawingml/2006/picture">
                <pic:pic>
                  <pic:nvPicPr>
                    <pic:cNvPr id="0" name="temp_assignment_page_0_38539ac1-da2f-49c3-ac15-e7e012bb3c93.png"/>
                    <pic:cNvPicPr/>
                  </pic:nvPicPr>
                  <pic:blipFill>
                    <a:blip r:embed="rId16"/>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3" name="Picture 89034082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4" name="Picture 89034082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5" name="Picture 89034082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