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9. Assignment</w:t>
      </w:r>
    </w:p>
    <w:p/>
    <w:p>
      <w:r>
        <w:drawing>
          <wp:inline xmlns:a="http://schemas.openxmlformats.org/drawingml/2006/main" xmlns:pic="http://schemas.openxmlformats.org/drawingml/2006/picture">
            <wp:extent cx="5486400" cy="7758579"/>
            <wp:docPr id="890340820" name="Picture 890340820"/>
            <wp:cNvGraphicFramePr>
              <a:graphicFrameLocks noChangeAspect="1"/>
            </wp:cNvGraphicFramePr>
            <a:graphic>
              <a:graphicData uri="http://schemas.openxmlformats.org/drawingml/2006/picture">
                <pic:pic>
                  <pic:nvPicPr>
                    <pic:cNvPr id="0" name="temp_assignment_page_0_10228389-efc7-4ebb-9690-46488026bb88.png"/>
                    <pic:cNvPicPr/>
                  </pic:nvPicPr>
                  <pic:blipFill>
                    <a:blip r:embed="rId16"/>
                    <a:stretch>
                      <a:fillRect/>
                    </a:stretch>
                  </pic:blipFill>
                  <pic:spPr>
                    <a:xfrm>
                      <a:off x="0" y="0"/>
                      <a:ext cx="5486400" cy="7758579"/>
                    </a:xfrm>
                    <a:prstGeom prst="rect"/>
                  </pic:spPr>
                </pic:pic>
              </a:graphicData>
            </a:graphic>
          </wp:inline>
        </w:drawing>
      </w:r>
    </w:p>
    <w:p>
      <w:r>
        <w:br w:type="page"/>
      </w:r>
    </w:p>
    <w:p>
      <w:r>
        <w:drawing>
          <wp:inline xmlns:a="http://schemas.openxmlformats.org/drawingml/2006/main" xmlns:pic="http://schemas.openxmlformats.org/drawingml/2006/picture">
            <wp:extent cx="5486400" cy="7758579"/>
            <wp:docPr id="890340821" name="Picture 890340821"/>
            <wp:cNvGraphicFramePr>
              <a:graphicFrameLocks noChangeAspect="1"/>
            </wp:cNvGraphicFramePr>
            <a:graphic>
              <a:graphicData uri="http://schemas.openxmlformats.org/drawingml/2006/picture">
                <pic:pic>
                  <pic:nvPicPr>
                    <pic:cNvPr id="0" name="temp_assignment_page_1_e6e8373d-7dda-45ba-882b-cb5d5ae8161c.png"/>
                    <pic:cNvPicPr/>
                  </pic:nvPicPr>
                  <pic:blipFill>
                    <a:blip r:embed="rId17"/>
                    <a:stretch>
                      <a:fillRect/>
                    </a:stretch>
                  </pic:blipFill>
                  <pic:spPr>
                    <a:xfrm>
                      <a:off x="0" y="0"/>
                      <a:ext cx="5486400" cy="7758579"/>
                    </a:xfrm>
                    <a:prstGeom prst="rect"/>
                  </pic:spPr>
                </pic:pic>
              </a:graphicData>
            </a:graphic>
          </wp:inline>
        </w:drawing>
      </w:r>
    </w:p>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12. Assignment PDF</w:t>
      </w:r>
    </w:p>
    <w:p>
      <w:pPr>
        <w:jc w:val="center"/>
      </w:pPr>
      <w:r>
        <w:drawing>
          <wp:inline xmlns:a="http://schemas.openxmlformats.org/drawingml/2006/main" xmlns:pic="http://schemas.openxmlformats.org/drawingml/2006/picture">
            <wp:extent cx="5486400" cy="7758579"/>
            <wp:docPr id="890340822" name="Picture 890340822"/>
            <wp:cNvGraphicFramePr>
              <a:graphicFrameLocks noChangeAspect="1"/>
            </wp:cNvGraphicFramePr>
            <a:graphic>
              <a:graphicData uri="http://schemas.openxmlformats.org/drawingml/2006/picture">
                <pic:pic>
                  <pic:nvPicPr>
                    <pic:cNvPr id="0" name="temp_assignment_page_0_10228389-efc7-4ebb-9690-46488026bb88.png"/>
                    <pic:cNvPicPr/>
                  </pic:nvPicPr>
                  <pic:blipFill>
                    <a:blip r:embed="rId16"/>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3" name="Picture 89034082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4" name="Picture 89034082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5" name="Picture 89034082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