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002A6B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48.75pt;margin-top:217.75pt;width:219.75pt;height:131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002A6B" w:rsidP="00002A6B">
                  <w:pPr>
                    <w:rPr>
                      <w:sz w:val="24"/>
                      <w:szCs w:val="24"/>
                    </w:rPr>
                  </w:pPr>
                  <w:r w:rsidRPr="00002A6B">
                    <w:rPr>
                      <w:sz w:val="24"/>
                      <w:szCs w:val="24"/>
                    </w:rPr>
                    <w:t>View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</w:t>
                  </w:r>
                  <w:proofErr w:type="gramStart"/>
                  <w:r>
                    <w:rPr>
                      <w:sz w:val="24"/>
                      <w:szCs w:val="24"/>
                    </w:rPr>
                    <w:t>,  View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Trained and Tested Accuracy Results, </w:t>
                  </w:r>
                  <w:r w:rsidRPr="00002A6B">
                    <w:rPr>
                      <w:sz w:val="24"/>
                      <w:szCs w:val="24"/>
                    </w:rPr>
                    <w:t xml:space="preserve">View Detected Credit Card Fraud Details, </w:t>
                  </w:r>
                  <w:r w:rsidR="00293933" w:rsidRPr="00E546B3">
                    <w:rPr>
                      <w:sz w:val="24"/>
                      <w:szCs w:val="24"/>
                    </w:rPr>
                    <w:t>Traine</w:t>
                  </w:r>
                  <w:r w:rsidR="00293933">
                    <w:rPr>
                      <w:sz w:val="24"/>
                      <w:szCs w:val="24"/>
                    </w:rPr>
                    <w:t xml:space="preserve">d and Tested Accuracy Results, </w:t>
                  </w:r>
                  <w:r w:rsidR="00293933" w:rsidRPr="00E546B3">
                    <w:rPr>
                      <w:sz w:val="24"/>
                      <w:szCs w:val="24"/>
                    </w:rPr>
                    <w:t>View</w:t>
                  </w:r>
                  <w:r w:rsidR="00293933">
                    <w:rPr>
                      <w:sz w:val="24"/>
                      <w:szCs w:val="24"/>
                    </w:rPr>
                    <w:t xml:space="preserve"> Prediction Of SMS Message Type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-2.5pt;margin-top:176.25pt;width:26.5pt;height:41.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1A3301">
        <w:rPr>
          <w:noProof/>
          <w:sz w:val="32"/>
          <w:szCs w:val="32"/>
        </w:rPr>
        <w:pict>
          <v:oval id="_x0000_s1067" style="position:absolute;left:0;text-align:left;margin-left:9.75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002A6B" w:rsidRPr="00002A6B" w:rsidRDefault="00002A6B" w:rsidP="00002A6B">
                  <w:pPr>
                    <w:rPr>
                      <w:szCs w:val="24"/>
                    </w:rPr>
                  </w:pPr>
                  <w:r w:rsidRPr="00002A6B">
                    <w:rPr>
                      <w:szCs w:val="24"/>
                    </w:rPr>
                    <w:t>Download Credit C</w:t>
                  </w:r>
                  <w:r>
                    <w:rPr>
                      <w:szCs w:val="24"/>
                    </w:rPr>
                    <w:t>ard Fraud Detection Data Sets</w:t>
                  </w:r>
                  <w:proofErr w:type="gramStart"/>
                  <w:r>
                    <w:rPr>
                      <w:szCs w:val="24"/>
                    </w:rPr>
                    <w:t xml:space="preserve">,  </w:t>
                  </w:r>
                  <w:r w:rsidRPr="00002A6B">
                    <w:rPr>
                      <w:szCs w:val="24"/>
                    </w:rPr>
                    <w:t>View</w:t>
                  </w:r>
                  <w:proofErr w:type="gramEnd"/>
                  <w:r w:rsidRPr="00002A6B">
                    <w:rPr>
                      <w:szCs w:val="24"/>
                    </w:rPr>
                    <w:t xml:space="preserve"> Credit Card Fraud Ratio Results, </w:t>
                  </w:r>
                </w:p>
                <w:p w:rsidR="00405AA8" w:rsidRPr="00002A6B" w:rsidRDefault="00002A6B" w:rsidP="00002A6B">
                  <w:pPr>
                    <w:rPr>
                      <w:szCs w:val="24"/>
                    </w:rPr>
                  </w:pPr>
                  <w:r w:rsidRPr="00002A6B">
                    <w:rPr>
                      <w:szCs w:val="24"/>
                    </w:rPr>
                    <w:t>View All Remote Users.</w:t>
                  </w:r>
                </w:p>
              </w:txbxContent>
            </v:textbox>
          </v:oval>
        </w:pict>
      </w:r>
      <w:r w:rsidR="001A3301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1A3301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 w:rsidR="001A3301"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 w:rsidR="001A3301">
        <w:rPr>
          <w:noProof/>
          <w:sz w:val="32"/>
          <w:szCs w:val="32"/>
        </w:rPr>
        <w:pict>
          <v:oval id="_x0000_s1063" style="position:absolute;left:0;text-align:left;margin-left:152.25pt;margin-top:29.25pt;width:239.1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002A6B" w:rsidRDefault="00002A6B" w:rsidP="00002A6B">
                  <w:pPr>
                    <w:rPr>
                      <w:sz w:val="24"/>
                      <w:szCs w:val="24"/>
                    </w:rPr>
                  </w:pPr>
                  <w:r w:rsidRPr="00002A6B">
                    <w:rPr>
                      <w:sz w:val="24"/>
                      <w:szCs w:val="24"/>
                    </w:rPr>
                    <w:t>Brow</w:t>
                  </w:r>
                  <w:r>
                    <w:rPr>
                      <w:sz w:val="24"/>
                      <w:szCs w:val="24"/>
                    </w:rPr>
                    <w:t>se and Train &amp; Test Data Sets</w:t>
                  </w:r>
                  <w:proofErr w:type="gramStart"/>
                  <w:r>
                    <w:rPr>
                      <w:sz w:val="24"/>
                      <w:szCs w:val="24"/>
                    </w:rPr>
                    <w:t>,  Find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Credit Card Results </w:t>
                  </w:r>
                  <w:r w:rsidRPr="00002A6B">
                    <w:rPr>
                      <w:sz w:val="24"/>
                      <w:szCs w:val="24"/>
                    </w:rPr>
                    <w:t>Details,</w:t>
                  </w:r>
                </w:p>
              </w:txbxContent>
            </v:textbox>
          </v:oval>
        </w:pict>
      </w:r>
      <w:r w:rsidR="001A3301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1A3301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1A3301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1A3301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1A3301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002A6B" w:rsidRDefault="00002A6B" w:rsidP="00002A6B">
                  <w:pPr>
                    <w:rPr>
                      <w:szCs w:val="18"/>
                    </w:rPr>
                  </w:pPr>
                  <w:r w:rsidRPr="00002A6B">
                    <w:rPr>
                      <w:szCs w:val="18"/>
                    </w:rPr>
                    <w:t>Credit Card Fraud Prediction Ratio Details,</w:t>
                  </w:r>
                </w:p>
              </w:txbxContent>
            </v:textbox>
          </v:oval>
        </w:pict>
      </w:r>
      <w:r w:rsidR="001A3301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1A3301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1A3301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1A3301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1A3301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1A3301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1A3301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1A3301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1A3301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1A3301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1A3301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1A3301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1A3301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1A3301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2A6B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A3301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084C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270</cp:revision>
  <dcterms:created xsi:type="dcterms:W3CDTF">2015-08-04T06:57:00Z</dcterms:created>
  <dcterms:modified xsi:type="dcterms:W3CDTF">2022-01-13T06:13:00Z</dcterms:modified>
</cp:coreProperties>
</file>