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320"/>
        <w:jc w:val="center"/>
      </w:pPr>
      <w:r>
        <w:rPr>
          <w:rFonts w:ascii="Times New Roman" w:hAnsi="Times New Roman"/>
          <w:b/>
          <w:sz w:val="40"/>
        </w:rPr>
        <w:t>SentinelGPT: An AI-Powered Large Language Model</w:t>
        <w:br/>
        <w:t>Framework for Advanced Cyber Threat Detection</w:t>
        <w:br/>
        <w:t>and Analysis</w:t>
      </w:r>
    </w:p>
    <w:p>
      <w:pPr>
        <w:spacing w:after="2000"/>
        <w:jc w:val="center"/>
      </w:pPr>
      <w:r>
        <w:rPr>
          <w:rFonts w:ascii="Times New Roman" w:hAnsi="Times New Roman"/>
          <w:sz w:val="26"/>
        </w:rPr>
        <w:t>A Project Report Submitted for the Partial Fulfillment</w:t>
        <w:br/>
        <w:t>of the Requirements for the Award of the Degree of</w:t>
        <w:br/>
        <w:t>Master of Computer Applications (MCA)</w:t>
      </w:r>
    </w:p>
    <w:p>
      <w:pPr>
        <w:spacing w:after="80"/>
        <w:jc w:val="center"/>
      </w:pPr>
      <w:r>
        <w:rPr>
          <w:rFonts w:ascii="Times New Roman" w:hAnsi="Times New Roman"/>
          <w:b w:val="0"/>
          <w:sz w:val="24"/>
        </w:rPr>
        <w:t>Submitted by</w:t>
        <w:br/>
      </w:r>
      <w:r>
        <w:rPr>
          <w:rFonts w:ascii="Times New Roman" w:hAnsi="Times New Roman"/>
          <w:b/>
          <w:sz w:val="30"/>
        </w:rPr>
        <w:t>Pravallika Kalangi</w:t>
        <w:br/>
      </w:r>
      <w:r>
        <w:rPr>
          <w:rFonts w:ascii="Times New Roman" w:hAnsi="Times New Roman"/>
          <w:b w:val="0"/>
          <w:sz w:val="26"/>
        </w:rPr>
        <w:t>Roll No: 24VV1F0044</w:t>
        <w:br/>
      </w:r>
      <w:r>
        <w:rPr>
          <w:rFonts w:ascii="Times New Roman" w:hAnsi="Times New Roman"/>
          <w:b w:val="0"/>
          <w:sz w:val="26"/>
        </w:rPr>
        <w:t>MCA 2nd Year</w:t>
      </w:r>
    </w:p>
    <w:p>
      <w:r>
        <w:br w:type="page"/>
      </w:r>
    </w:p>
    <w:p>
      <w:pPr>
        <w:keepNext/>
        <w:spacing w:before="200" w:after="80"/>
      </w:pPr>
      <w:r>
        <w:rPr>
          <w:rFonts w:ascii="Times New Roman" w:hAnsi="Times New Roman"/>
          <w:b/>
          <w:color w:val="003366"/>
          <w:sz w:val="28"/>
        </w:rPr>
        <w:t>1.  Problem Statement</w:t>
      </w:r>
    </w:p>
    <w:p>
      <w:pPr>
        <w:spacing w:before="0" w:after="80" w:line="276" w:lineRule="auto"/>
        <w:jc w:val="both"/>
      </w:pPr>
      <w:r>
        <w:rPr>
          <w:rFonts w:ascii="Times New Roman" w:hAnsi="Times New Roman"/>
          <w:sz w:val="22"/>
        </w:rPr>
        <w:t>Modern cybersecurity operations face severe challenges managing the overwhelming volume of network telemetry and security alerts generated by enterprise IT infrastructure. Security information and event management (SIEM) systems process millions of event logs, network probes, and API requests daily. Many organizations still rely on manual log inspection, static firewall rules, and fragmented monitoring tools — creating operational bottlenecks, analyst alert fatigue, and dangerously slow incident response times.</w:t>
      </w:r>
    </w:p>
    <w:p>
      <w:pPr>
        <w:spacing w:before="0" w:after="80" w:line="276" w:lineRule="auto"/>
        <w:jc w:val="both"/>
      </w:pPr>
      <w:r>
        <w:rPr>
          <w:rFonts w:ascii="Times New Roman" w:hAnsi="Times New Roman"/>
          <w:sz w:val="22"/>
        </w:rPr>
        <w:t>A key challenge is identifying sophisticated multi-stage attacks such as credential stuffing, DDoS vectors, SQL injection payloads, and brute-force authentication spikes. Traditional rule-based intrusion detection systems generate high false-positive rates while failing to correlate anomalous behavior with the MITRE ATT&amp;CK framework. Manual quarantine procedures further delay response, exposing networks to lateral movement and data exfiltration.</w:t>
      </w:r>
    </w:p>
    <w:p>
      <w:pPr>
        <w:spacing w:before="0" w:after="80" w:line="276" w:lineRule="auto"/>
        <w:jc w:val="both"/>
      </w:pPr>
      <w:r>
        <w:rPr>
          <w:rFonts w:ascii="Times New Roman" w:hAnsi="Times New Roman"/>
          <w:sz w:val="22"/>
        </w:rPr>
        <w:t>To address these challenges, this project proposes SentinelGPT: an AI-Powered LLM Framework for Advanced Cyber Threat Detection and Analysis. It uses intelligent software agents to automatically monitor telemetry, calculate risk scores using heuristic anomaly algorithms, map threats to MITRE ATT&amp;CK, and autonomously quarantine high-risk IP addresses — significantly reducing manual effort and incident response latency.</w:t>
      </w:r>
    </w:p>
    <w:p>
      <w:pPr>
        <w:keepNext/>
        <w:spacing w:before="200" w:after="80"/>
      </w:pPr>
      <w:r>
        <w:rPr>
          <w:rFonts w:ascii="Times New Roman" w:hAnsi="Times New Roman"/>
          <w:b/>
          <w:color w:val="003366"/>
          <w:sz w:val="28"/>
        </w:rPr>
        <w:t>2.  Difference: Traditional System vs. Proposed SentinelGPT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0E4F7"/>
          </w:tcPr>
          <w:p>
            <w:pPr>
              <w:jc w:val="center"/>
            </w:pPr>
            <w:r>
              <w:rPr>
                <w:b/>
                <w:sz w:val="22"/>
              </w:rPr>
              <w:t>Traditional Security System</w:t>
            </w:r>
          </w:p>
        </w:tc>
        <w:tc>
          <w:tcPr>
            <w:tcW w:type="dxa" w:w="4680"/>
            <w:shd w:val="clear" w:color="auto" w:fill="D0E4F7"/>
          </w:tcPr>
          <w:p>
            <w:pPr>
              <w:jc w:val="center"/>
            </w:pPr>
            <w:r>
              <w:rPr>
                <w:b/>
                <w:sz w:val="22"/>
              </w:rPr>
              <w:t>Proposed SentinelGPT System</w:t>
            </w:r>
          </w:p>
        </w:tc>
      </w:tr>
      <w:tr>
        <w:tc>
          <w:tcPr>
            <w:tcW w:type="dxa" w:w="4680"/>
          </w:tcPr>
          <w:p>
            <w:r>
              <w:rPr>
                <w:sz w:val="20"/>
              </w:rPr>
              <w:t>Manual log inspection and static firewall rules.</w:t>
            </w:r>
          </w:p>
        </w:tc>
        <w:tc>
          <w:tcPr>
            <w:tcW w:type="dxa" w:w="4680"/>
          </w:tcPr>
          <w:p>
            <w:r>
              <w:rPr>
                <w:sz w:val="20"/>
              </w:rPr>
              <w:t>Autonomous agents monitor telemetry 24/7 with no manual input.</w:t>
            </w:r>
          </w:p>
        </w:tc>
      </w:tr>
      <w:tr>
        <w:tc>
          <w:tcPr>
            <w:tcW w:type="dxa" w:w="4680"/>
          </w:tcPr>
          <w:p>
            <w:r>
              <w:rPr>
                <w:sz w:val="20"/>
              </w:rPr>
              <w:t>High alert fatigue and delayed incident detection.</w:t>
            </w:r>
          </w:p>
        </w:tc>
        <w:tc>
          <w:tcPr>
            <w:tcW w:type="dxa" w:w="4680"/>
          </w:tcPr>
          <w:p>
            <w:r>
              <w:rPr>
                <w:sz w:val="20"/>
              </w:rPr>
              <w:t>Real-time heuristic scoring (0–100) eliminates fatigue and detects threats instantly.</w:t>
            </w:r>
          </w:p>
        </w:tc>
      </w:tr>
      <w:tr>
        <w:tc>
          <w:tcPr>
            <w:tcW w:type="dxa" w:w="4680"/>
          </w:tcPr>
          <w:p>
            <w:r>
              <w:rPr>
                <w:sz w:val="20"/>
              </w:rPr>
              <w:t>IP blocking requires manual admin intervention.</w:t>
            </w:r>
          </w:p>
        </w:tc>
        <w:tc>
          <w:tcPr>
            <w:tcW w:type="dxa" w:w="4680"/>
          </w:tcPr>
          <w:p>
            <w:r>
              <w:rPr>
                <w:sz w:val="20"/>
              </w:rPr>
              <w:t>Autonomous Quarantine Agent auto-isolates IPs with score ≥ 75 in real time.</w:t>
            </w:r>
          </w:p>
        </w:tc>
      </w:tr>
      <w:tr>
        <w:tc>
          <w:tcPr>
            <w:tcW w:type="dxa" w:w="4680"/>
          </w:tcPr>
          <w:p>
            <w:r>
              <w:rPr>
                <w:sz w:val="20"/>
              </w:rPr>
              <w:t>Lacks attack-framework-aligned threat classification.</w:t>
            </w:r>
          </w:p>
        </w:tc>
        <w:tc>
          <w:tcPr>
            <w:tcW w:type="dxa" w:w="4680"/>
          </w:tcPr>
          <w:p>
            <w:r>
              <w:rPr>
                <w:sz w:val="20"/>
              </w:rPr>
              <w:t>All incidents are automatically mapped to MITRE ATT&amp;CK tactics and techniques.</w:t>
            </w:r>
          </w:p>
        </w:tc>
      </w:tr>
      <w:tr>
        <w:tc>
          <w:tcPr>
            <w:tcW w:type="dxa" w:w="4680"/>
          </w:tcPr>
          <w:p>
            <w:r>
              <w:rPr>
                <w:sz w:val="20"/>
              </w:rPr>
              <w:t>Triage requires extensive manual security research.</w:t>
            </w:r>
          </w:p>
        </w:tc>
        <w:tc>
          <w:tcPr>
            <w:tcW w:type="dxa" w:w="4680"/>
          </w:tcPr>
          <w:p>
            <w:r>
              <w:rPr>
                <w:sz w:val="20"/>
              </w:rPr>
              <w:t>Integrated AI Triage Assistant provides instant remediation guidance.</w:t>
            </w:r>
          </w:p>
        </w:tc>
      </w:tr>
      <w:tr>
        <w:tc>
          <w:tcPr>
            <w:tcW w:type="dxa" w:w="4680"/>
          </w:tcPr>
          <w:p>
            <w:r>
              <w:rPr>
                <w:sz w:val="20"/>
              </w:rPr>
              <w:t>No real-time visualization of threat velocity.</w:t>
            </w:r>
          </w:p>
        </w:tc>
        <w:tc>
          <w:tcPr>
            <w:tcW w:type="dxa" w:w="4680"/>
          </w:tcPr>
          <w:p>
            <w:r>
              <w:rPr>
                <w:sz w:val="20"/>
              </w:rPr>
              <w:t>Glassmorphic dashboard with live telemetry charts and perimeter heatmaps.</w:t>
            </w:r>
          </w:p>
        </w:tc>
      </w:tr>
      <w:tr>
        <w:tc>
          <w:tcPr>
            <w:tcW w:type="dxa" w:w="4680"/>
          </w:tcPr>
          <w:p>
            <w:r>
              <w:rPr>
                <w:sz w:val="20"/>
              </w:rPr>
              <w:t>Payload analysis done manually with external tools.</w:t>
            </w:r>
          </w:p>
        </w:tc>
        <w:tc>
          <w:tcPr>
            <w:tcW w:type="dxa" w:w="4680"/>
          </w:tcPr>
          <w:p>
            <w:r>
              <w:rPr>
                <w:sz w:val="20"/>
              </w:rPr>
              <w:t>Built-in Payload Scanner analyzes files with automatic verdict reports.</w:t>
            </w:r>
          </w:p>
        </w:tc>
      </w:tr>
      <w:tr>
        <w:tc>
          <w:tcPr>
            <w:tcW w:type="dxa" w:w="4680"/>
          </w:tcPr>
          <w:p>
            <w:r>
              <w:rPr>
                <w:sz w:val="20"/>
              </w:rPr>
              <w:t>Scaling across cloud environments is complex.</w:t>
            </w:r>
          </w:p>
        </w:tc>
        <w:tc>
          <w:tcPr>
            <w:tcW w:type="dxa" w:w="4680"/>
          </w:tcPr>
          <w:p>
            <w:r>
              <w:rPr>
                <w:sz w:val="20"/>
              </w:rPr>
              <w:t>Serverless architecture (FastAPI + Vercel) provides seamless scalability.</w:t>
            </w:r>
          </w:p>
        </w:tc>
      </w:tr>
    </w:tbl>
    <w:p>
      <w:r>
        <w:br w:type="page"/>
      </w:r>
    </w:p>
    <w:p>
      <w:pPr>
        <w:keepNext/>
        <w:spacing w:before="200" w:after="80"/>
      </w:pPr>
      <w:r>
        <w:rPr>
          <w:rFonts w:ascii="Times New Roman" w:hAnsi="Times New Roman"/>
          <w:b/>
          <w:color w:val="003366"/>
          <w:sz w:val="28"/>
        </w:rPr>
        <w:t>3.  Proposed Solution</w:t>
      </w:r>
    </w:p>
    <w:p>
      <w:pPr>
        <w:spacing w:before="0" w:after="80" w:line="276" w:lineRule="auto"/>
        <w:jc w:val="both"/>
      </w:pPr>
      <w:r>
        <w:rPr>
          <w:rFonts w:ascii="Times New Roman" w:hAnsi="Times New Roman"/>
          <w:sz w:val="22"/>
        </w:rPr>
        <w:t>SentinelGPT is an intelligent full-stack web-based cyber defense platform that automates threat detection, security monitoring, and incident mitigation. The system uses intelligent software agents that continuously evaluate network telemetry against heuristic scoring models and security policies, replacing slow manual workflows with instant automated decisions.</w:t>
      </w:r>
    </w:p>
    <w:p>
      <w:pPr>
        <w:spacing w:before="0" w:after="80" w:line="276" w:lineRule="auto"/>
        <w:jc w:val="both"/>
      </w:pPr>
      <w:r>
        <w:rPr>
          <w:rFonts w:ascii="Times New Roman" w:hAnsi="Times New Roman"/>
          <w:sz w:val="22"/>
        </w:rPr>
        <w:t>The Telemetry Monitor Agent analyzes packet rates, IP origins, and request patterns to compute a risk score from 0 to 100. Each incident is mapped to a MITRE ATT&amp;CK technique (e.g., T1078 Valid Accounts, T1498 Network DoS) with AI-driven remediation guidance. When a score reaches or exceeds 75, the Autonomous Quarantine Agent immediately isolates the offending IP in the database. Administrators retain full manual override control for revocation and simulated threat injection.</w:t>
      </w:r>
    </w:p>
    <w:p>
      <w:pPr>
        <w:keepNext/>
        <w:spacing w:before="200" w:after="80"/>
      </w:pPr>
      <w:r>
        <w:rPr>
          <w:rFonts w:ascii="Times New Roman" w:hAnsi="Times New Roman"/>
          <w:b/>
          <w:color w:val="003366"/>
          <w:sz w:val="28"/>
        </w:rPr>
        <w:t>4.  System Architecture</w:t>
      </w:r>
    </w:p>
    <w:p>
      <w:pPr>
        <w:spacing w:before="0" w:after="80" w:line="276" w:lineRule="auto"/>
        <w:jc w:val="both"/>
      </w:pPr>
      <w:r>
        <w:rPr>
          <w:rFonts w:ascii="Times New Roman" w:hAnsi="Times New Roman"/>
          <w:sz w:val="22"/>
        </w:rPr>
        <w:t>The diagram below shows the complete end-to-end architecture of SentinelGPT:</w:t>
      </w:r>
    </w:p>
    <w:p>
      <w:pPr>
        <w:spacing w:before="120" w:after="40"/>
        <w:jc w:val="center"/>
      </w:pPr>
      <w:r>
        <w:drawing>
          <wp:inline xmlns:a="http://schemas.openxmlformats.org/drawingml/2006/main" xmlns:pic="http://schemas.openxmlformats.org/drawingml/2006/picture">
            <wp:extent cx="5486400" cy="395531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955312"/>
                    </a:xfrm>
                    <a:prstGeom prst="rect"/>
                  </pic:spPr>
                </pic:pic>
              </a:graphicData>
            </a:graphic>
          </wp:inline>
        </w:drawing>
      </w:r>
    </w:p>
    <w:p>
      <w:pPr>
        <w:spacing w:after="120"/>
        <w:jc w:val="center"/>
      </w:pPr>
      <w:r>
        <w:rPr>
          <w:rFonts w:ascii="Times New Roman" w:hAnsi="Times New Roman"/>
          <w:i/>
          <w:sz w:val="20"/>
        </w:rPr>
        <w:t>Fig 1: SentinelGPT System Architecture</w:t>
      </w:r>
    </w:p>
    <w:p>
      <w:pPr>
        <w:keepNext/>
        <w:spacing w:before="200" w:after="80"/>
      </w:pPr>
      <w:r>
        <w:rPr>
          <w:rFonts w:ascii="Times New Roman" w:hAnsi="Times New Roman"/>
          <w:b/>
          <w:color w:val="003366"/>
          <w:sz w:val="28"/>
        </w:rPr>
        <w:t>5.  Technologies Used</w:t>
      </w:r>
    </w:p>
    <w:p>
      <w:pPr>
        <w:spacing w:before="120" w:after="40"/>
      </w:pPr>
      <w:r>
        <w:rPr>
          <w:rFonts w:ascii="Times New Roman" w:hAnsi="Times New Roman"/>
          <w:b/>
          <w:color w:val="1A4A7A"/>
          <w:sz w:val="24"/>
        </w:rPr>
        <w:t>Frontend</w:t>
      </w:r>
    </w:p>
    <w:p>
      <w:pPr>
        <w:pStyle w:val="ListBullet"/>
        <w:spacing w:before="0" w:after="40" w:line="264" w:lineRule="auto"/>
        <w:ind w:left="360"/>
        <w:jc w:val="both"/>
      </w:pPr>
      <w:r>
        <w:rPr>
          <w:rFonts w:ascii="Times New Roman" w:hAnsi="Times New Roman"/>
          <w:b/>
          <w:sz w:val="22"/>
        </w:rPr>
        <w:t xml:space="preserve">React 19: </w:t>
      </w:r>
      <w:r>
        <w:rPr>
          <w:rFonts w:ascii="Times New Roman" w:hAnsi="Times New Roman"/>
          <w:sz w:val="22"/>
        </w:rPr>
        <w:t>Modern UI library for dynamic component trees and real-time state management.</w:t>
      </w:r>
    </w:p>
    <w:p>
      <w:pPr>
        <w:pStyle w:val="ListBullet"/>
        <w:spacing w:before="0" w:after="40" w:line="264" w:lineRule="auto"/>
        <w:ind w:left="360"/>
        <w:jc w:val="both"/>
      </w:pPr>
      <w:r>
        <w:rPr>
          <w:rFonts w:ascii="Times New Roman" w:hAnsi="Times New Roman"/>
          <w:b/>
          <w:sz w:val="22"/>
        </w:rPr>
        <w:t xml:space="preserve">Vite 5.4: </w:t>
      </w:r>
      <w:r>
        <w:rPr>
          <w:rFonts w:ascii="Times New Roman" w:hAnsi="Times New Roman"/>
          <w:sz w:val="22"/>
        </w:rPr>
        <w:t>Next-gen build tool providing fast HMR and optimized production bundles.</w:t>
      </w:r>
    </w:p>
    <w:p>
      <w:pPr>
        <w:pStyle w:val="ListBullet"/>
        <w:spacing w:before="0" w:after="40" w:line="264" w:lineRule="auto"/>
        <w:ind w:left="360"/>
        <w:jc w:val="both"/>
      </w:pPr>
      <w:r>
        <w:rPr>
          <w:rFonts w:ascii="Times New Roman" w:hAnsi="Times New Roman"/>
          <w:b/>
          <w:sz w:val="22"/>
        </w:rPr>
        <w:t xml:space="preserve">Recharts: </w:t>
      </w:r>
      <w:r>
        <w:rPr>
          <w:rFonts w:ascii="Times New Roman" w:hAnsi="Times New Roman"/>
          <w:sz w:val="22"/>
        </w:rPr>
        <w:t>Renders live threat velocity charts, risk gauges, and severity donut graphs.</w:t>
      </w:r>
    </w:p>
    <w:p>
      <w:pPr>
        <w:pStyle w:val="ListBullet"/>
        <w:spacing w:before="0" w:after="40" w:line="264" w:lineRule="auto"/>
        <w:ind w:left="360"/>
        <w:jc w:val="both"/>
      </w:pPr>
      <w:r>
        <w:rPr>
          <w:rFonts w:ascii="Times New Roman" w:hAnsi="Times New Roman"/>
          <w:b/>
          <w:sz w:val="22"/>
        </w:rPr>
        <w:t xml:space="preserve">CSS3 / Glassmorphism: </w:t>
      </w:r>
      <w:r>
        <w:rPr>
          <w:rFonts w:ascii="Times New Roman" w:hAnsi="Times New Roman"/>
          <w:sz w:val="22"/>
        </w:rPr>
        <w:t>Cyberpunk dark-mode aesthetic with backdrop-blur and neon accents.</w:t>
      </w:r>
    </w:p>
    <w:p>
      <w:pPr>
        <w:spacing w:before="120" w:after="40"/>
      </w:pPr>
      <w:r>
        <w:rPr>
          <w:rFonts w:ascii="Times New Roman" w:hAnsi="Times New Roman"/>
          <w:b/>
          <w:color w:val="1A4A7A"/>
          <w:sz w:val="24"/>
        </w:rPr>
        <w:t>Backend</w:t>
      </w:r>
    </w:p>
    <w:p>
      <w:pPr>
        <w:pStyle w:val="ListBullet"/>
        <w:spacing w:before="0" w:after="40" w:line="264" w:lineRule="auto"/>
        <w:ind w:left="360"/>
        <w:jc w:val="both"/>
      </w:pPr>
      <w:r>
        <w:rPr>
          <w:rFonts w:ascii="Times New Roman" w:hAnsi="Times New Roman"/>
          <w:b/>
          <w:sz w:val="22"/>
        </w:rPr>
        <w:t xml:space="preserve">Python 3.11+: </w:t>
      </w:r>
      <w:r>
        <w:rPr>
          <w:rFonts w:ascii="Times New Roman" w:hAnsi="Times New Roman"/>
          <w:sz w:val="22"/>
        </w:rPr>
        <w:t>Primary language for agent logic, threat algorithms, and database models.</w:t>
      </w:r>
    </w:p>
    <w:p>
      <w:pPr>
        <w:pStyle w:val="ListBullet"/>
        <w:spacing w:before="0" w:after="40" w:line="264" w:lineRule="auto"/>
        <w:ind w:left="360"/>
        <w:jc w:val="both"/>
      </w:pPr>
      <w:r>
        <w:rPr>
          <w:rFonts w:ascii="Times New Roman" w:hAnsi="Times New Roman"/>
          <w:b/>
          <w:sz w:val="22"/>
        </w:rPr>
        <w:t xml:space="preserve">FastAPI: </w:t>
      </w:r>
      <w:r>
        <w:rPr>
          <w:rFonts w:ascii="Times New Roman" w:hAnsi="Times New Roman"/>
          <w:sz w:val="22"/>
        </w:rPr>
        <w:t>Async, high-performance framework for RESTful APIs, WebSockets, and OpenAPI docs.</w:t>
      </w:r>
    </w:p>
    <w:p>
      <w:pPr>
        <w:pStyle w:val="ListBullet"/>
        <w:spacing w:before="0" w:after="40" w:line="264" w:lineRule="auto"/>
        <w:ind w:left="360"/>
        <w:jc w:val="both"/>
      </w:pPr>
      <w:r>
        <w:rPr>
          <w:rFonts w:ascii="Times New Roman" w:hAnsi="Times New Roman"/>
          <w:b/>
          <w:sz w:val="22"/>
        </w:rPr>
        <w:t xml:space="preserve">Uvicorn: </w:t>
      </w:r>
      <w:r>
        <w:rPr>
          <w:rFonts w:ascii="Times New Roman" w:hAnsi="Times New Roman"/>
          <w:sz w:val="22"/>
        </w:rPr>
        <w:t>High-speed ASGI server for both local dev and Vercel serverless execution.</w:t>
      </w:r>
    </w:p>
    <w:p>
      <w:pPr>
        <w:pStyle w:val="ListBullet"/>
        <w:spacing w:before="0" w:after="40" w:line="264" w:lineRule="auto"/>
        <w:ind w:left="360"/>
        <w:jc w:val="both"/>
      </w:pPr>
      <w:r>
        <w:rPr>
          <w:rFonts w:ascii="Times New Roman" w:hAnsi="Times New Roman"/>
          <w:b/>
          <w:sz w:val="22"/>
        </w:rPr>
        <w:t xml:space="preserve">PyJWT: </w:t>
      </w:r>
      <w:r>
        <w:rPr>
          <w:rFonts w:ascii="Times New Roman" w:hAnsi="Times New Roman"/>
          <w:sz w:val="22"/>
        </w:rPr>
        <w:t>HS256 JSON Web Token generation and validation for secure 8-hour sessions.</w:t>
      </w:r>
    </w:p>
    <w:p>
      <w:pPr>
        <w:spacing w:before="120" w:after="40"/>
      </w:pPr>
      <w:r>
        <w:rPr>
          <w:rFonts w:ascii="Times New Roman" w:hAnsi="Times New Roman"/>
          <w:b/>
          <w:color w:val="1A4A7A"/>
          <w:sz w:val="24"/>
        </w:rPr>
        <w:t>Database &amp; Deployment</w:t>
      </w:r>
    </w:p>
    <w:p>
      <w:pPr>
        <w:pStyle w:val="ListBullet"/>
        <w:spacing w:before="0" w:after="40" w:line="264" w:lineRule="auto"/>
        <w:ind w:left="360"/>
        <w:jc w:val="both"/>
      </w:pPr>
      <w:r>
        <w:rPr>
          <w:rFonts w:ascii="Times New Roman" w:hAnsi="Times New Roman"/>
          <w:b/>
          <w:sz w:val="22"/>
        </w:rPr>
        <w:t xml:space="preserve">SQLAlchemy ORM: </w:t>
      </w:r>
      <w:r>
        <w:rPr>
          <w:rFonts w:ascii="Times New Roman" w:hAnsi="Times New Roman"/>
          <w:sz w:val="22"/>
        </w:rPr>
        <w:t>Safe, type-annotated Python ORM for all database interactions.</w:t>
      </w:r>
    </w:p>
    <w:p>
      <w:pPr>
        <w:pStyle w:val="ListBullet"/>
        <w:spacing w:before="0" w:after="40" w:line="264" w:lineRule="auto"/>
        <w:ind w:left="360"/>
        <w:jc w:val="both"/>
      </w:pPr>
      <w:r>
        <w:rPr>
          <w:rFonts w:ascii="Times New Roman" w:hAnsi="Times New Roman"/>
          <w:b/>
          <w:sz w:val="22"/>
        </w:rPr>
        <w:t xml:space="preserve">SQLite: </w:t>
      </w:r>
      <w:r>
        <w:rPr>
          <w:rFonts w:ascii="Times New Roman" w:hAnsi="Times New Roman"/>
          <w:sz w:val="22"/>
        </w:rPr>
        <w:t>Zero-config relational DB for incident logs, blocked IPs, and user accounts.</w:t>
      </w:r>
    </w:p>
    <w:p>
      <w:pPr>
        <w:pStyle w:val="ListBullet"/>
        <w:spacing w:before="0" w:after="40" w:line="264" w:lineRule="auto"/>
        <w:ind w:left="360"/>
        <w:jc w:val="both"/>
      </w:pPr>
      <w:r>
        <w:rPr>
          <w:rFonts w:ascii="Times New Roman" w:hAnsi="Times New Roman"/>
          <w:b/>
          <w:sz w:val="22"/>
        </w:rPr>
        <w:t xml:space="preserve">Vercel Serverless: </w:t>
      </w:r>
      <w:r>
        <w:rPr>
          <w:rFonts w:ascii="Times New Roman" w:hAnsi="Times New Roman"/>
          <w:sz w:val="22"/>
        </w:rPr>
        <w:t>Production cloud host serving the React build and Python API functions.</w:t>
      </w:r>
    </w:p>
    <w:p>
      <w:pPr>
        <w:pStyle w:val="ListBullet"/>
        <w:spacing w:before="0" w:after="40" w:line="264" w:lineRule="auto"/>
        <w:ind w:left="360"/>
        <w:jc w:val="both"/>
      </w:pPr>
      <w:r>
        <w:rPr>
          <w:rFonts w:ascii="Times New Roman" w:hAnsi="Times New Roman"/>
          <w:b/>
          <w:sz w:val="22"/>
        </w:rPr>
        <w:t xml:space="preserve">GitHub Actions CI/CD: </w:t>
      </w:r>
      <w:r>
        <w:rPr>
          <w:rFonts w:ascii="Times New Roman" w:hAnsi="Times New Roman"/>
          <w:sz w:val="22"/>
        </w:rPr>
        <w:t>Automated build and deployment pipeline on every push to main.</w:t>
      </w:r>
    </w:p>
    <w:p>
      <w:r>
        <w:br w:type="page"/>
      </w:r>
    </w:p>
    <w:p>
      <w:pPr>
        <w:keepNext/>
        <w:spacing w:before="200" w:after="80"/>
      </w:pPr>
      <w:r>
        <w:rPr>
          <w:rFonts w:ascii="Times New Roman" w:hAnsi="Times New Roman"/>
          <w:b/>
          <w:color w:val="003366"/>
          <w:sz w:val="28"/>
        </w:rPr>
        <w:t>6.  Architecture Flow &amp; Agents Used</w:t>
      </w:r>
    </w:p>
    <w:p>
      <w:pPr>
        <w:spacing w:before="120" w:after="40"/>
        <w:jc w:val="center"/>
      </w:pPr>
      <w:r>
        <w:drawing>
          <wp:inline xmlns:a="http://schemas.openxmlformats.org/drawingml/2006/main" xmlns:pic="http://schemas.openxmlformats.org/drawingml/2006/picture">
            <wp:extent cx="5669280" cy="3559780"/>
            <wp:docPr id="2" name="Picture 2"/>
            <wp:cNvGraphicFramePr>
              <a:graphicFrameLocks noChangeAspect="1"/>
            </wp:cNvGraphicFramePr>
            <a:graphic>
              <a:graphicData uri="http://schemas.openxmlformats.org/drawingml/2006/picture">
                <pic:pic>
                  <pic:nvPicPr>
                    <pic:cNvPr id="0" name="agent_workflow_diagram.png"/>
                    <pic:cNvPicPr/>
                  </pic:nvPicPr>
                  <pic:blipFill>
                    <a:blip r:embed="rId10"/>
                    <a:stretch>
                      <a:fillRect/>
                    </a:stretch>
                  </pic:blipFill>
                  <pic:spPr>
                    <a:xfrm>
                      <a:off x="0" y="0"/>
                      <a:ext cx="5669280" cy="3559780"/>
                    </a:xfrm>
                    <a:prstGeom prst="rect"/>
                  </pic:spPr>
                </pic:pic>
              </a:graphicData>
            </a:graphic>
          </wp:inline>
        </w:drawing>
      </w:r>
    </w:p>
    <w:p>
      <w:pPr>
        <w:spacing w:after="120"/>
        <w:jc w:val="center"/>
      </w:pPr>
      <w:r>
        <w:rPr>
          <w:rFonts w:ascii="Times New Roman" w:hAnsi="Times New Roman"/>
          <w:i/>
          <w:sz w:val="20"/>
        </w:rPr>
        <w:t>Fig 2: SentinelGPT Agent Workflow &amp; Data Flow</w:t>
      </w:r>
    </w:p>
    <w:p>
      <w:pPr>
        <w:spacing w:before="120" w:after="40"/>
      </w:pPr>
      <w:r>
        <w:rPr>
          <w:rFonts w:ascii="Times New Roman" w:hAnsi="Times New Roman"/>
          <w:b/>
          <w:color w:val="1A4A7A"/>
          <w:sz w:val="24"/>
        </w:rPr>
        <w:t>Agent 1 — Telemetry Monitor &amp; Threat Detection Agent</w:t>
      </w:r>
    </w:p>
    <w:p>
      <w:pPr>
        <w:spacing w:before="0" w:after="80" w:line="276" w:lineRule="auto"/>
        <w:jc w:val="both"/>
      </w:pPr>
      <w:r>
        <w:rPr>
          <w:rFonts w:ascii="Times New Roman" w:hAnsi="Times New Roman"/>
          <w:sz w:val="22"/>
        </w:rPr>
        <w:t>Continuously inspects incoming network log events, extracts IP details, computes a heuristic risk score (0–100), and assigns a MITRE ATT&amp;CK tactic/technique tag. Produces a structured incident payload that is persisted to the SOC Incidents database table and streamed to the frontend dashboard in real time.</w:t>
      </w:r>
    </w:p>
    <w:p>
      <w:pPr>
        <w:spacing w:before="120" w:after="40"/>
      </w:pPr>
      <w:r>
        <w:rPr>
          <w:rFonts w:ascii="Times New Roman" w:hAnsi="Times New Roman"/>
          <w:b/>
          <w:color w:val="1A4A7A"/>
          <w:sz w:val="24"/>
        </w:rPr>
        <w:t>Agent 2 — Autonomous Quarantine &amp; Validation Agent</w:t>
      </w:r>
    </w:p>
    <w:p>
      <w:pPr>
        <w:spacing w:before="0" w:after="80" w:line="276" w:lineRule="auto"/>
        <w:jc w:val="both"/>
      </w:pPr>
      <w:r>
        <w:rPr>
          <w:rFonts w:ascii="Times New Roman" w:hAnsi="Times New Roman"/>
          <w:sz w:val="22"/>
        </w:rPr>
        <w:t>Evaluates every incident against the severity threshold. Incidents scoring ≥ 75 are automatically written to the Blocked IPs table, effectively quarantining the offending IP. The agent also validates revoke requests and generates AI-driven remediation advice, preventing false-positive lockouts through secondary validation checks.</w:t>
      </w:r>
    </w:p>
    <w:p>
      <w:pPr>
        <w:keepNext/>
        <w:spacing w:before="200" w:after="80"/>
      </w:pPr>
      <w:r>
        <w:rPr>
          <w:rFonts w:ascii="Times New Roman" w:hAnsi="Times New Roman"/>
          <w:b/>
          <w:color w:val="003366"/>
          <w:sz w:val="28"/>
        </w:rPr>
        <w:t>7.  Algorithms Used</w:t>
      </w:r>
    </w:p>
    <w:p>
      <w:pPr>
        <w:pStyle w:val="ListBullet"/>
        <w:spacing w:before="0" w:after="40" w:line="264" w:lineRule="auto"/>
        <w:ind w:left="360"/>
        <w:jc w:val="both"/>
      </w:pPr>
      <w:r>
        <w:rPr>
          <w:rFonts w:ascii="Times New Roman" w:hAnsi="Times New Roman"/>
          <w:b/>
          <w:sz w:val="22"/>
        </w:rPr>
        <w:t xml:space="preserve">Heuristic Threat Scoring: </w:t>
      </w:r>
      <w:r>
        <w:rPr>
          <w:rFonts w:ascii="Times New Roman" w:hAnsi="Times New Roman"/>
          <w:sz w:val="22"/>
        </w:rPr>
        <w:t>Evaluates request velocity, payload anomaly patterns, and IP reputation to produce a normalized 0–100 risk score.</w:t>
      </w:r>
    </w:p>
    <w:p>
      <w:pPr>
        <w:pStyle w:val="ListBullet"/>
        <w:spacing w:before="0" w:after="40" w:line="264" w:lineRule="auto"/>
        <w:ind w:left="360"/>
        <w:jc w:val="both"/>
      </w:pPr>
      <w:r>
        <w:rPr>
          <w:rFonts w:ascii="Times New Roman" w:hAnsi="Times New Roman"/>
          <w:b/>
          <w:sz w:val="22"/>
        </w:rPr>
        <w:t xml:space="preserve">Severity Matrix Classifier: </w:t>
      </w:r>
      <w:r>
        <w:rPr>
          <w:rFonts w:ascii="Times New Roman" w:hAnsi="Times New Roman"/>
          <w:sz w:val="22"/>
        </w:rPr>
        <w:t>Maps scores to Critical (≥75), High (60–74), Medium (40–59), and Low (&lt;40) priority tiers — driving automated responses.</w:t>
      </w:r>
    </w:p>
    <w:p>
      <w:pPr>
        <w:pStyle w:val="ListBullet"/>
        <w:spacing w:before="0" w:after="40" w:line="264" w:lineRule="auto"/>
        <w:ind w:left="360"/>
        <w:jc w:val="both"/>
      </w:pPr>
      <w:r>
        <w:rPr>
          <w:rFonts w:ascii="Times New Roman" w:hAnsi="Times New Roman"/>
          <w:b/>
          <w:sz w:val="22"/>
        </w:rPr>
        <w:t xml:space="preserve">Velocity Rate Anomaly Detector: </w:t>
      </w:r>
      <w:r>
        <w:rPr>
          <w:rFonts w:ascii="Times New Roman" w:hAnsi="Times New Roman"/>
          <w:sz w:val="22"/>
        </w:rPr>
        <w:t>Monitors burst traffic spikes per IP over sliding time windows to detect DDoS and port-scan sweeps.</w:t>
      </w:r>
    </w:p>
    <w:p>
      <w:r>
        <w:br w:type="page"/>
      </w:r>
    </w:p>
    <w:p>
      <w:pPr>
        <w:keepNext/>
        <w:spacing w:before="200" w:after="80"/>
      </w:pPr>
      <w:r>
        <w:rPr>
          <w:rFonts w:ascii="Times New Roman" w:hAnsi="Times New Roman"/>
          <w:b/>
          <w:color w:val="003366"/>
          <w:sz w:val="28"/>
        </w:rPr>
        <w:t>8.  Implementation Phases</w:t>
      </w:r>
    </w:p>
    <w:p>
      <w:pPr>
        <w:pStyle w:val="ListBullet"/>
        <w:spacing w:before="0" w:after="40" w:line="264" w:lineRule="auto"/>
        <w:ind w:left="360"/>
        <w:jc w:val="both"/>
      </w:pPr>
      <w:r>
        <w:rPr>
          <w:rFonts w:ascii="Times New Roman" w:hAnsi="Times New Roman"/>
          <w:b/>
          <w:sz w:val="22"/>
        </w:rPr>
        <w:t xml:space="preserve">Phase 1 — Requirement Analysis: </w:t>
      </w:r>
      <w:r>
        <w:rPr>
          <w:rFonts w:ascii="Times New Roman" w:hAnsi="Times New Roman"/>
          <w:sz w:val="22"/>
        </w:rPr>
        <w:t>Identified SOC pain points; defined threat scoring metrics; mapped MITRE ATT&amp;CK coverage.</w:t>
      </w:r>
    </w:p>
    <w:p>
      <w:pPr>
        <w:pStyle w:val="ListBullet"/>
        <w:spacing w:before="0" w:after="40" w:line="264" w:lineRule="auto"/>
        <w:ind w:left="360"/>
        <w:jc w:val="both"/>
      </w:pPr>
      <w:r>
        <w:rPr>
          <w:rFonts w:ascii="Times New Roman" w:hAnsi="Times New Roman"/>
          <w:b/>
          <w:sz w:val="22"/>
        </w:rPr>
        <w:t xml:space="preserve">Phase 2 — System Design: </w:t>
      </w:r>
      <w:r>
        <w:rPr>
          <w:rFonts w:ascii="Times New Roman" w:hAnsi="Times New Roman"/>
          <w:sz w:val="22"/>
        </w:rPr>
        <w:t>Architected decoupled React SPA + FastAPI serverless backend; finalized API contracts.</w:t>
      </w:r>
    </w:p>
    <w:p>
      <w:pPr>
        <w:pStyle w:val="ListBullet"/>
        <w:spacing w:before="0" w:after="40" w:line="264" w:lineRule="auto"/>
        <w:ind w:left="360"/>
        <w:jc w:val="both"/>
      </w:pPr>
      <w:r>
        <w:rPr>
          <w:rFonts w:ascii="Times New Roman" w:hAnsi="Times New Roman"/>
          <w:b/>
          <w:sz w:val="22"/>
        </w:rPr>
        <w:t xml:space="preserve">Phase 3 — Database Schema: </w:t>
      </w:r>
      <w:r>
        <w:rPr>
          <w:rFonts w:ascii="Times New Roman" w:hAnsi="Times New Roman"/>
          <w:sz w:val="22"/>
        </w:rPr>
        <w:t>Designed SQLAlchemy ORM models — Users, SOC Incidents, Perimeter Logs, Blocked IPs.</w:t>
      </w:r>
    </w:p>
    <w:p>
      <w:pPr>
        <w:pStyle w:val="ListBullet"/>
        <w:spacing w:before="0" w:after="40" w:line="264" w:lineRule="auto"/>
        <w:ind w:left="360"/>
        <w:jc w:val="both"/>
      </w:pPr>
      <w:r>
        <w:rPr>
          <w:rFonts w:ascii="Times New Roman" w:hAnsi="Times New Roman"/>
          <w:b/>
          <w:sz w:val="22"/>
        </w:rPr>
        <w:t xml:space="preserve">Phase 4 — Frontend Development: </w:t>
      </w:r>
      <w:r>
        <w:rPr>
          <w:rFonts w:ascii="Times New Roman" w:hAnsi="Times New Roman"/>
          <w:sz w:val="22"/>
        </w:rPr>
        <w:t>Built glassmorphic components — ThreatChart, RiskGaugeChart, BlockedIPs, Login, Dashboard.</w:t>
      </w:r>
    </w:p>
    <w:p>
      <w:pPr>
        <w:pStyle w:val="ListBullet"/>
        <w:spacing w:before="0" w:after="40" w:line="264" w:lineRule="auto"/>
        <w:ind w:left="360"/>
        <w:jc w:val="both"/>
      </w:pPr>
      <w:r>
        <w:rPr>
          <w:rFonts w:ascii="Times New Roman" w:hAnsi="Times New Roman"/>
          <w:b/>
          <w:sz w:val="22"/>
        </w:rPr>
        <w:t xml:space="preserve">Phase 5 — Backend &amp; JWT Auth: </w:t>
      </w:r>
      <w:r>
        <w:rPr>
          <w:rFonts w:ascii="Times New Roman" w:hAnsi="Times New Roman"/>
          <w:sz w:val="22"/>
        </w:rPr>
        <w:t>Implemented REST routes (/api/snapshot, /api/block_ip, /api/sim_threat) with HS256 JWT auth.</w:t>
      </w:r>
    </w:p>
    <w:p>
      <w:pPr>
        <w:pStyle w:val="ListBullet"/>
        <w:spacing w:before="0" w:after="40" w:line="264" w:lineRule="auto"/>
        <w:ind w:left="360"/>
        <w:jc w:val="both"/>
      </w:pPr>
      <w:r>
        <w:rPr>
          <w:rFonts w:ascii="Times New Roman" w:hAnsi="Times New Roman"/>
          <w:b/>
          <w:sz w:val="22"/>
        </w:rPr>
        <w:t xml:space="preserve">Phase 6 — Agentic AI Development: </w:t>
      </w:r>
      <w:r>
        <w:rPr>
          <w:rFonts w:ascii="Times New Roman" w:hAnsi="Times New Roman"/>
          <w:sz w:val="22"/>
        </w:rPr>
        <w:t>Programmed the Telemetry Monitor Agent and Autonomous Quarantine Agent workflows.</w:t>
      </w:r>
    </w:p>
    <w:p>
      <w:pPr>
        <w:pStyle w:val="ListBullet"/>
        <w:spacing w:before="0" w:after="40" w:line="264" w:lineRule="auto"/>
        <w:ind w:left="360"/>
        <w:jc w:val="both"/>
      </w:pPr>
      <w:r>
        <w:rPr>
          <w:rFonts w:ascii="Times New Roman" w:hAnsi="Times New Roman"/>
          <w:b/>
          <w:sz w:val="22"/>
        </w:rPr>
        <w:t xml:space="preserve">Phase 7 — Integration &amp; Testing: </w:t>
      </w:r>
      <w:r>
        <w:rPr>
          <w:rFonts w:ascii="Times New Roman" w:hAnsi="Times New Roman"/>
          <w:sz w:val="22"/>
        </w:rPr>
        <w:t>Injected simulated threats to verify heuristic accuracy, quarantine triggers, and revoke controls.</w:t>
      </w:r>
    </w:p>
    <w:p>
      <w:pPr>
        <w:pStyle w:val="ListBullet"/>
        <w:spacing w:before="0" w:after="40" w:line="264" w:lineRule="auto"/>
        <w:ind w:left="360"/>
        <w:jc w:val="both"/>
      </w:pPr>
      <w:r>
        <w:rPr>
          <w:rFonts w:ascii="Times New Roman" w:hAnsi="Times New Roman"/>
          <w:b/>
          <w:sz w:val="22"/>
        </w:rPr>
        <w:t xml:space="preserve">Phase 8 — Cloud Deployment: </w:t>
      </w:r>
      <w:r>
        <w:rPr>
          <w:rFonts w:ascii="Times New Roman" w:hAnsi="Times New Roman"/>
          <w:sz w:val="22"/>
        </w:rPr>
        <w:t>Deployed full-stack to Vercel Serverless; configured env vars; verified Swagger docs in production.</w:t>
      </w:r>
    </w:p>
    <w:p>
      <w:pPr>
        <w:keepNext/>
        <w:spacing w:before="200" w:after="80"/>
      </w:pPr>
      <w:r>
        <w:rPr>
          <w:rFonts w:ascii="Times New Roman" w:hAnsi="Times New Roman"/>
          <w:b/>
          <w:color w:val="003366"/>
          <w:sz w:val="28"/>
        </w:rPr>
        <w:t>9.  Applications</w:t>
      </w:r>
    </w:p>
    <w:p>
      <w:pPr>
        <w:pStyle w:val="ListBullet"/>
        <w:spacing w:before="0" w:after="40" w:line="264" w:lineRule="auto"/>
        <w:ind w:left="360"/>
        <w:jc w:val="both"/>
      </w:pPr>
      <w:r>
        <w:rPr>
          <w:rFonts w:ascii="Times New Roman" w:hAnsi="Times New Roman"/>
          <w:b/>
          <w:sz w:val="22"/>
        </w:rPr>
        <w:t xml:space="preserve">Enterprise SOC Operations: </w:t>
      </w:r>
      <w:r>
        <w:rPr>
          <w:rFonts w:ascii="Times New Roman" w:hAnsi="Times New Roman"/>
          <w:sz w:val="22"/>
        </w:rPr>
        <w:t>Continuous perimeter monitoring, real-time threat triage, and automated response for security teams.</w:t>
      </w:r>
    </w:p>
    <w:p>
      <w:pPr>
        <w:pStyle w:val="ListBullet"/>
        <w:spacing w:before="0" w:after="40" w:line="264" w:lineRule="auto"/>
        <w:ind w:left="360"/>
        <w:jc w:val="both"/>
      </w:pPr>
      <w:r>
        <w:rPr>
          <w:rFonts w:ascii="Times New Roman" w:hAnsi="Times New Roman"/>
          <w:b/>
          <w:sz w:val="22"/>
        </w:rPr>
        <w:t xml:space="preserve">Financial Institutions: </w:t>
      </w:r>
      <w:r>
        <w:rPr>
          <w:rFonts w:ascii="Times New Roman" w:hAnsi="Times New Roman"/>
          <w:sz w:val="22"/>
        </w:rPr>
        <w:t>Protects banking portals from credential stuffing, brute-force, and transaction fraud.</w:t>
      </w:r>
    </w:p>
    <w:p>
      <w:pPr>
        <w:pStyle w:val="ListBullet"/>
        <w:spacing w:before="0" w:after="40" w:line="264" w:lineRule="auto"/>
        <w:ind w:left="360"/>
        <w:jc w:val="both"/>
      </w:pPr>
      <w:r>
        <w:rPr>
          <w:rFonts w:ascii="Times New Roman" w:hAnsi="Times New Roman"/>
          <w:b/>
          <w:sz w:val="22"/>
        </w:rPr>
        <w:t xml:space="preserve">Cloud Service Providers: </w:t>
      </w:r>
      <w:r>
        <w:rPr>
          <w:rFonts w:ascii="Times New Roman" w:hAnsi="Times New Roman"/>
          <w:sz w:val="22"/>
        </w:rPr>
        <w:t>Safeguards serverless APIs and microservices from unauthorized probes and exploitation.</w:t>
      </w:r>
    </w:p>
    <w:p>
      <w:pPr>
        <w:pStyle w:val="ListBullet"/>
        <w:spacing w:before="0" w:after="40" w:line="264" w:lineRule="auto"/>
        <w:ind w:left="360"/>
        <w:jc w:val="both"/>
      </w:pPr>
      <w:r>
        <w:rPr>
          <w:rFonts w:ascii="Times New Roman" w:hAnsi="Times New Roman"/>
          <w:b/>
          <w:sz w:val="22"/>
        </w:rPr>
        <w:t xml:space="preserve">Healthcare Networks: </w:t>
      </w:r>
      <w:r>
        <w:rPr>
          <w:rFonts w:ascii="Times New Roman" w:hAnsi="Times New Roman"/>
          <w:sz w:val="22"/>
        </w:rPr>
        <w:t>Secures patient data endpoints against ransomware and malware payload injection.</w:t>
      </w:r>
    </w:p>
    <w:p>
      <w:pPr>
        <w:pStyle w:val="ListBullet"/>
        <w:spacing w:before="0" w:after="40" w:line="264" w:lineRule="auto"/>
        <w:ind w:left="360"/>
        <w:jc w:val="both"/>
      </w:pPr>
      <w:r>
        <w:rPr>
          <w:rFonts w:ascii="Times New Roman" w:hAnsi="Times New Roman"/>
          <w:b/>
          <w:sz w:val="22"/>
        </w:rPr>
        <w:t xml:space="preserve">E-Commerce Platforms: </w:t>
      </w:r>
      <w:r>
        <w:rPr>
          <w:rFonts w:ascii="Times New Roman" w:hAnsi="Times New Roman"/>
          <w:sz w:val="22"/>
        </w:rPr>
        <w:t>Prevents DDoS disruption and SQL injection attacks during high-traffic periods.</w:t>
      </w:r>
    </w:p>
    <w:p>
      <w:pPr>
        <w:pStyle w:val="ListBullet"/>
        <w:spacing w:before="0" w:after="40" w:line="264" w:lineRule="auto"/>
        <w:ind w:left="360"/>
        <w:jc w:val="both"/>
      </w:pPr>
      <w:r>
        <w:rPr>
          <w:rFonts w:ascii="Times New Roman" w:hAnsi="Times New Roman"/>
          <w:b/>
          <w:sz w:val="22"/>
        </w:rPr>
        <w:t xml:space="preserve">Academic Institutions: </w:t>
      </w:r>
      <w:r>
        <w:rPr>
          <w:rFonts w:ascii="Times New Roman" w:hAnsi="Times New Roman"/>
          <w:sz w:val="22"/>
        </w:rPr>
        <w:t>Monitors campus networks and prevents faculty/student account hijacking.</w:t>
      </w:r>
    </w:p>
    <w:p>
      <w:r>
        <w:br w:type="page"/>
      </w:r>
    </w:p>
    <w:p>
      <w:pPr>
        <w:keepNext/>
        <w:spacing w:before="200" w:after="80"/>
      </w:pPr>
      <w:r>
        <w:rPr>
          <w:rFonts w:ascii="Times New Roman" w:hAnsi="Times New Roman"/>
          <w:b/>
          <w:color w:val="003366"/>
          <w:sz w:val="28"/>
        </w:rPr>
        <w:t>10.  User Interface Screenshots</w:t>
      </w:r>
    </w:p>
    <w:tbl>
      <w:tblPr>
        <w:tblStyle w:val="TableGrid"/>
        <w:tblW w:type="auto" w:w="0"/>
        <w:jc w:val="center"/>
        <w:tblLook w:firstColumn="1" w:firstRow="1" w:lastColumn="0" w:lastRow="0" w:noHBand="0" w:noVBand="1" w:val="04A0"/>
      </w:tblPr>
      <w:tblGrid>
        <w:gridCol w:w="4680"/>
        <w:gridCol w:w="4680"/>
      </w:tblGrid>
      <w:tr>
        <w:tc>
          <w:tcPr>
            <w:tcW w:type="dxa" w:w="4680"/>
            <w:tcBorders>
              <w:top w:val="none"/>
              <w:bottom w:val="none"/>
              <w:left w:val="none"/>
              <w:right w:val="none"/>
            </w:tcBorders>
          </w:tcPr>
          <w:p>
            <w:pPr>
              <w:spacing w:after="40"/>
              <w:jc w:val="center"/>
            </w:pPr>
            <w:r>
              <w:drawing>
                <wp:inline xmlns:a="http://schemas.openxmlformats.org/drawingml/2006/main" xmlns:pic="http://schemas.openxmlformats.org/drawingml/2006/picture">
                  <wp:extent cx="2743200" cy="1303020"/>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2743200" cy="1303020"/>
                          </a:xfrm>
                          <a:prstGeom prst="rect"/>
                        </pic:spPr>
                      </pic:pic>
                    </a:graphicData>
                  </a:graphic>
                </wp:inline>
              </w:drawing>
            </w:r>
          </w:p>
        </w:tc>
        <w:tc>
          <w:tcPr>
            <w:tcW w:type="dxa" w:w="4680"/>
            <w:tcBorders>
              <w:top w:val="none"/>
              <w:bottom w:val="none"/>
              <w:left w:val="none"/>
              <w:right w:val="none"/>
            </w:tcBorders>
          </w:tcPr>
          <w:p>
            <w:pPr>
              <w:spacing w:after="40"/>
              <w:jc w:val="center"/>
            </w:pPr>
            <w:r>
              <w:drawing>
                <wp:inline xmlns:a="http://schemas.openxmlformats.org/drawingml/2006/main" xmlns:pic="http://schemas.openxmlformats.org/drawingml/2006/picture">
                  <wp:extent cx="2743200" cy="1303020"/>
                  <wp:docPr id="4" name="Picture 4"/>
                  <wp:cNvGraphicFramePr>
                    <a:graphicFrameLocks noChangeAspect="1"/>
                  </wp:cNvGraphicFramePr>
                  <a:graphic>
                    <a:graphicData uri="http://schemas.openxmlformats.org/drawingml/2006/picture">
                      <pic:pic>
                        <pic:nvPicPr>
                          <pic:cNvPr id="0" name="login_page.png"/>
                          <pic:cNvPicPr/>
                        </pic:nvPicPr>
                        <pic:blipFill>
                          <a:blip r:embed="rId12"/>
                          <a:stretch>
                            <a:fillRect/>
                          </a:stretch>
                        </pic:blipFill>
                        <pic:spPr>
                          <a:xfrm>
                            <a:off x="0" y="0"/>
                            <a:ext cx="2743200" cy="1303020"/>
                          </a:xfrm>
                          <a:prstGeom prst="rect"/>
                        </pic:spPr>
                      </pic:pic>
                    </a:graphicData>
                  </a:graphic>
                </wp:inline>
              </w:drawing>
            </w:r>
          </w:p>
        </w:tc>
      </w:tr>
      <w:tr>
        <w:tc>
          <w:tcPr>
            <w:tcW w:type="dxa" w:w="4680"/>
            <w:tcBorders>
              <w:top w:val="none"/>
              <w:bottom w:val="none"/>
              <w:left w:val="none"/>
              <w:right w:val="none"/>
            </w:tcBorders>
          </w:tcPr>
          <w:p>
            <w:pPr>
              <w:spacing w:after="160"/>
              <w:jc w:val="center"/>
            </w:pPr>
            <w:r>
              <w:rPr>
                <w:i/>
                <w:sz w:val="19"/>
              </w:rPr>
              <w:t>Fig 3: SOC Operations Dashboard</w:t>
            </w:r>
          </w:p>
        </w:tc>
        <w:tc>
          <w:tcPr>
            <w:tcW w:type="dxa" w:w="4680"/>
            <w:tcBorders>
              <w:top w:val="none"/>
              <w:bottom w:val="none"/>
              <w:left w:val="none"/>
              <w:right w:val="none"/>
            </w:tcBorders>
          </w:tcPr>
          <w:p>
            <w:pPr>
              <w:spacing w:after="160"/>
              <w:jc w:val="center"/>
            </w:pPr>
            <w:r>
              <w:rPr>
                <w:i/>
                <w:sz w:val="19"/>
              </w:rPr>
              <w:t>Fig 4: Operator Login Portal</w:t>
            </w:r>
          </w:p>
        </w:tc>
      </w:tr>
    </w:tbl>
    <w:tbl>
      <w:tblPr>
        <w:tblStyle w:val="TableGrid"/>
        <w:tblW w:type="auto" w:w="0"/>
        <w:jc w:val="center"/>
        <w:tblLook w:firstColumn="1" w:firstRow="1" w:lastColumn="0" w:lastRow="0" w:noHBand="0" w:noVBand="1" w:val="04A0"/>
      </w:tblPr>
      <w:tblGrid>
        <w:gridCol w:w="4680"/>
        <w:gridCol w:w="4680"/>
      </w:tblGrid>
      <w:tr>
        <w:tc>
          <w:tcPr>
            <w:tcW w:type="dxa" w:w="4680"/>
            <w:tcBorders>
              <w:top w:val="none"/>
              <w:bottom w:val="none"/>
              <w:left w:val="none"/>
              <w:right w:val="none"/>
            </w:tcBorders>
          </w:tcPr>
          <w:p>
            <w:pPr>
              <w:spacing w:after="40"/>
              <w:jc w:val="center"/>
            </w:pPr>
            <w:r>
              <w:drawing>
                <wp:inline xmlns:a="http://schemas.openxmlformats.org/drawingml/2006/main" xmlns:pic="http://schemas.openxmlformats.org/drawingml/2006/picture">
                  <wp:extent cx="2743200" cy="1303020"/>
                  <wp:docPr id="5" name="Picture 5"/>
                  <wp:cNvGraphicFramePr>
                    <a:graphicFrameLocks noChangeAspect="1"/>
                  </wp:cNvGraphicFramePr>
                  <a:graphic>
                    <a:graphicData uri="http://schemas.openxmlformats.org/drawingml/2006/picture">
                      <pic:pic>
                        <pic:nvPicPr>
                          <pic:cNvPr id="0" name="ai_chat.png"/>
                          <pic:cNvPicPr/>
                        </pic:nvPicPr>
                        <pic:blipFill>
                          <a:blip r:embed="rId13"/>
                          <a:stretch>
                            <a:fillRect/>
                          </a:stretch>
                        </pic:blipFill>
                        <pic:spPr>
                          <a:xfrm>
                            <a:off x="0" y="0"/>
                            <a:ext cx="2743200" cy="1303020"/>
                          </a:xfrm>
                          <a:prstGeom prst="rect"/>
                        </pic:spPr>
                      </pic:pic>
                    </a:graphicData>
                  </a:graphic>
                </wp:inline>
              </w:drawing>
            </w:r>
          </w:p>
        </w:tc>
        <w:tc>
          <w:tcPr>
            <w:tcW w:type="dxa" w:w="4680"/>
            <w:tcBorders>
              <w:top w:val="none"/>
              <w:bottom w:val="none"/>
              <w:left w:val="none"/>
              <w:right w:val="none"/>
            </w:tcBorders>
          </w:tcPr>
          <w:p>
            <w:pPr>
              <w:spacing w:after="40"/>
              <w:jc w:val="center"/>
            </w:pPr>
            <w:r>
              <w:drawing>
                <wp:inline xmlns:a="http://schemas.openxmlformats.org/drawingml/2006/main" xmlns:pic="http://schemas.openxmlformats.org/drawingml/2006/picture">
                  <wp:extent cx="2743200" cy="1303020"/>
                  <wp:docPr id="6" name="Picture 6"/>
                  <wp:cNvGraphicFramePr>
                    <a:graphicFrameLocks noChangeAspect="1"/>
                  </wp:cNvGraphicFramePr>
                  <a:graphic>
                    <a:graphicData uri="http://schemas.openxmlformats.org/drawingml/2006/picture">
                      <pic:pic>
                        <pic:nvPicPr>
                          <pic:cNvPr id="0" name="file_scanner.png"/>
                          <pic:cNvPicPr/>
                        </pic:nvPicPr>
                        <pic:blipFill>
                          <a:blip r:embed="rId14"/>
                          <a:stretch>
                            <a:fillRect/>
                          </a:stretch>
                        </pic:blipFill>
                        <pic:spPr>
                          <a:xfrm>
                            <a:off x="0" y="0"/>
                            <a:ext cx="2743200" cy="1303020"/>
                          </a:xfrm>
                          <a:prstGeom prst="rect"/>
                        </pic:spPr>
                      </pic:pic>
                    </a:graphicData>
                  </a:graphic>
                </wp:inline>
              </w:drawing>
            </w:r>
          </w:p>
        </w:tc>
      </w:tr>
      <w:tr>
        <w:tc>
          <w:tcPr>
            <w:tcW w:type="dxa" w:w="4680"/>
            <w:tcBorders>
              <w:top w:val="none"/>
              <w:bottom w:val="none"/>
              <w:left w:val="none"/>
              <w:right w:val="none"/>
            </w:tcBorders>
          </w:tcPr>
          <w:p>
            <w:pPr>
              <w:spacing w:after="160"/>
              <w:jc w:val="center"/>
            </w:pPr>
            <w:r>
              <w:rPr>
                <w:i/>
                <w:sz w:val="19"/>
              </w:rPr>
              <w:t>Fig 5: AI Threat Triage Assistant</w:t>
            </w:r>
          </w:p>
        </w:tc>
        <w:tc>
          <w:tcPr>
            <w:tcW w:type="dxa" w:w="4680"/>
            <w:tcBorders>
              <w:top w:val="none"/>
              <w:bottom w:val="none"/>
              <w:left w:val="none"/>
              <w:right w:val="none"/>
            </w:tcBorders>
          </w:tcPr>
          <w:p>
            <w:pPr>
              <w:spacing w:after="160"/>
              <w:jc w:val="center"/>
            </w:pPr>
            <w:r>
              <w:rPr>
                <w:i/>
                <w:sz w:val="19"/>
              </w:rPr>
              <w:t>Fig 6: Heuristic Payload Scanner</w:t>
            </w:r>
          </w:p>
        </w:tc>
      </w:tr>
    </w:tbl>
    <w:p>
      <w:r>
        <w:br w:type="page"/>
      </w:r>
    </w:p>
    <w:p>
      <w:pPr>
        <w:keepNext/>
        <w:spacing w:before="200" w:after="80"/>
      </w:pPr>
      <w:r>
        <w:rPr>
          <w:rFonts w:ascii="Times New Roman" w:hAnsi="Times New Roman"/>
          <w:b/>
          <w:color w:val="003366"/>
          <w:sz w:val="28"/>
        </w:rPr>
        <w:t>11.  Conclusion</w:t>
      </w:r>
    </w:p>
    <w:p>
      <w:pPr>
        <w:spacing w:before="0" w:after="80" w:line="276" w:lineRule="auto"/>
        <w:jc w:val="both"/>
      </w:pPr>
      <w:r>
        <w:rPr>
          <w:rFonts w:ascii="Times New Roman" w:hAnsi="Times New Roman"/>
          <w:sz w:val="22"/>
        </w:rPr>
        <w:t>SentinelGPT demonstrates that integrating Agentic AI with a modern full-stack architecture (React 19, FastAPI, SQLAlchemy, Vercel) can transform traditional reactive security operations into a proactive, automated cyber defense system. By replacing manual log review with autonomous software agents, the platform eliminates alert fatigue, reduces incident response latency to near zero, and provides continuous 24/7 network perimeter protection — setting a strong foundation for next-generation AI-powered cybersecurity frameworks.</w:t>
      </w:r>
    </w:p>
    <w:p>
      <w:pPr>
        <w:keepNext/>
        <w:spacing w:before="200" w:after="80"/>
      </w:pPr>
      <w:r>
        <w:rPr>
          <w:rFonts w:ascii="Times New Roman" w:hAnsi="Times New Roman"/>
          <w:b/>
          <w:color w:val="003366"/>
          <w:sz w:val="28"/>
        </w:rPr>
        <w:t>12.  References</w:t>
      </w:r>
    </w:p>
    <w:p>
      <w:pPr>
        <w:pStyle w:val="ListBullet"/>
        <w:spacing w:before="0" w:after="40" w:line="264" w:lineRule="auto"/>
        <w:ind w:left="360"/>
        <w:jc w:val="both"/>
      </w:pPr>
      <w:r>
        <w:rPr>
          <w:rFonts w:ascii="Times New Roman" w:hAnsi="Times New Roman"/>
          <w:b/>
          <w:sz w:val="22"/>
        </w:rPr>
        <w:t xml:space="preserve">[1]  </w:t>
      </w:r>
      <w:r>
        <w:rPr>
          <w:rFonts w:ascii="Times New Roman" w:hAnsi="Times New Roman"/>
          <w:sz w:val="22"/>
        </w:rPr>
        <w:t>FastAPI Documentation — https://fastapi.tiangolo.com/</w:t>
      </w:r>
    </w:p>
    <w:p>
      <w:pPr>
        <w:pStyle w:val="ListBullet"/>
        <w:spacing w:before="0" w:after="40" w:line="264" w:lineRule="auto"/>
        <w:ind w:left="360"/>
        <w:jc w:val="both"/>
      </w:pPr>
      <w:r>
        <w:rPr>
          <w:rFonts w:ascii="Times New Roman" w:hAnsi="Times New Roman"/>
          <w:b/>
          <w:sz w:val="22"/>
        </w:rPr>
        <w:t xml:space="preserve">[2]  </w:t>
      </w:r>
      <w:r>
        <w:rPr>
          <w:rFonts w:ascii="Times New Roman" w:hAnsi="Times New Roman"/>
          <w:sz w:val="22"/>
        </w:rPr>
        <w:t>React 19 Docs — https://react.dev/</w:t>
      </w:r>
    </w:p>
    <w:p>
      <w:pPr>
        <w:pStyle w:val="ListBullet"/>
        <w:spacing w:before="0" w:after="40" w:line="264" w:lineRule="auto"/>
        <w:ind w:left="360"/>
        <w:jc w:val="both"/>
      </w:pPr>
      <w:r>
        <w:rPr>
          <w:rFonts w:ascii="Times New Roman" w:hAnsi="Times New Roman"/>
          <w:b/>
          <w:sz w:val="22"/>
        </w:rPr>
        <w:t xml:space="preserve">[3]  </w:t>
      </w:r>
      <w:r>
        <w:rPr>
          <w:rFonts w:ascii="Times New Roman" w:hAnsi="Times New Roman"/>
          <w:sz w:val="22"/>
        </w:rPr>
        <w:t>MITRE ATT&amp;CK Framework — https://attack.mitre.org/</w:t>
      </w:r>
    </w:p>
    <w:p>
      <w:pPr>
        <w:pStyle w:val="ListBullet"/>
        <w:spacing w:before="0" w:after="40" w:line="264" w:lineRule="auto"/>
        <w:ind w:left="360"/>
        <w:jc w:val="both"/>
      </w:pPr>
      <w:r>
        <w:rPr>
          <w:rFonts w:ascii="Times New Roman" w:hAnsi="Times New Roman"/>
          <w:b/>
          <w:sz w:val="22"/>
        </w:rPr>
        <w:t xml:space="preserve">[4]  </w:t>
      </w:r>
      <w:r>
        <w:rPr>
          <w:rFonts w:ascii="Times New Roman" w:hAnsi="Times New Roman"/>
          <w:sz w:val="22"/>
        </w:rPr>
        <w:t>SQLAlchemy ORM — https://docs.sqlalchemy.org/</w:t>
      </w:r>
    </w:p>
    <w:p>
      <w:pPr>
        <w:pStyle w:val="ListBullet"/>
        <w:spacing w:before="0" w:after="40" w:line="264" w:lineRule="auto"/>
        <w:ind w:left="360"/>
        <w:jc w:val="both"/>
      </w:pPr>
      <w:r>
        <w:rPr>
          <w:rFonts w:ascii="Times New Roman" w:hAnsi="Times New Roman"/>
          <w:b/>
          <w:sz w:val="22"/>
        </w:rPr>
        <w:t xml:space="preserve">[5]  </w:t>
      </w:r>
      <w:r>
        <w:rPr>
          <w:rFonts w:ascii="Times New Roman" w:hAnsi="Times New Roman"/>
          <w:sz w:val="22"/>
        </w:rPr>
        <w:t>Vercel Docs — https://vercel.com/docs</w:t>
      </w:r>
    </w:p>
    <w:p>
      <w:pPr>
        <w:pStyle w:val="ListBullet"/>
        <w:spacing w:before="0" w:after="40" w:line="264" w:lineRule="auto"/>
        <w:ind w:left="360"/>
        <w:jc w:val="both"/>
      </w:pPr>
      <w:r>
        <w:rPr>
          <w:rFonts w:ascii="Times New Roman" w:hAnsi="Times New Roman"/>
          <w:b/>
          <w:sz w:val="22"/>
        </w:rPr>
        <w:t xml:space="preserve">[6]  </w:t>
      </w:r>
      <w:r>
        <w:rPr>
          <w:rFonts w:ascii="Times New Roman" w:hAnsi="Times New Roman"/>
          <w:sz w:val="22"/>
        </w:rPr>
        <w:t>Russell, S. &amp; Norvig, P. (2021). Artificial Intelligence: A Modern Approach (4th ed.). Pearson.</w:t>
      </w:r>
    </w:p>
    <w:p>
      <w:pPr>
        <w:keepNext/>
        <w:spacing w:before="200" w:after="80"/>
      </w:pPr>
      <w:r>
        <w:rPr>
          <w:rFonts w:ascii="Times New Roman" w:hAnsi="Times New Roman"/>
          <w:b/>
          <w:color w:val="003366"/>
          <w:sz w:val="28"/>
        </w:rPr>
        <w:t>13.  Live Deployment &amp; GitHub Links</w:t>
      </w:r>
    </w:p>
    <w:p>
      <w:pPr>
        <w:pStyle w:val="ListBullet"/>
        <w:spacing w:before="0" w:after="40" w:line="264" w:lineRule="auto"/>
        <w:ind w:left="360"/>
        <w:jc w:val="both"/>
      </w:pPr>
      <w:r>
        <w:rPr>
          <w:rFonts w:ascii="Times New Roman" w:hAnsi="Times New Roman"/>
          <w:b/>
          <w:sz w:val="22"/>
        </w:rPr>
        <w:t xml:space="preserve">Single Live Dashboard Link:  </w:t>
      </w:r>
      <w:r>
        <w:rPr>
          <w:rFonts w:ascii="Times New Roman" w:hAnsi="Times New Roman"/>
          <w:sz w:val="22"/>
        </w:rPr>
        <w:t>https://sentinelgpt-ai.vercel.app</w:t>
      </w:r>
    </w:p>
    <w:p>
      <w:pPr>
        <w:pStyle w:val="ListBullet"/>
        <w:spacing w:before="0" w:after="40" w:line="264" w:lineRule="auto"/>
        <w:ind w:left="360"/>
        <w:jc w:val="both"/>
      </w:pPr>
      <w:r>
        <w:rPr>
          <w:rFonts w:ascii="Times New Roman" w:hAnsi="Times New Roman"/>
          <w:b/>
          <w:sz w:val="22"/>
        </w:rPr>
        <w:t xml:space="preserve">Interactive Swagger API Docs: </w:t>
      </w:r>
      <w:r>
        <w:rPr>
          <w:rFonts w:ascii="Times New Roman" w:hAnsi="Times New Roman"/>
          <w:sz w:val="22"/>
        </w:rPr>
        <w:t>https://sentinelgpt-ai.vercel.app/docs</w:t>
      </w:r>
    </w:p>
    <w:p>
      <w:pPr>
        <w:pStyle w:val="ListBullet"/>
        <w:spacing w:before="0" w:after="40" w:line="264" w:lineRule="auto"/>
        <w:ind w:left="360"/>
        <w:jc w:val="both"/>
      </w:pPr>
      <w:r>
        <w:rPr>
          <w:rFonts w:ascii="Times New Roman" w:hAnsi="Times New Roman"/>
          <w:b/>
          <w:sz w:val="22"/>
        </w:rPr>
        <w:t xml:space="preserve">Official GitHub Repository:   </w:t>
      </w:r>
      <w:r>
        <w:rPr>
          <w:rFonts w:ascii="Times New Roman" w:hAnsi="Times New Roman"/>
          <w:sz w:val="22"/>
        </w:rPr>
        <w:t>https://github.com/Pravallika2025/sentigraud-ai-.git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