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555555"/>
          <w:sz w:val="26"/>
        </w:rPr>
        <w:t>PROJECT TECHNICAL REPORT</w:t>
      </w:r>
    </w:p>
    <w:p>
      <w:pPr>
        <w:spacing w:before="480" w:after="280"/>
        <w:jc w:val="center"/>
      </w:pPr>
      <w:r>
        <w:rPr>
          <w:rFonts w:ascii="Calibri" w:hAnsi="Calibri"/>
          <w:b/>
          <w:color w:val="002750"/>
          <w:sz w:val="48"/>
        </w:rPr>
        <w:t>SentinelGPT: An AI-Powered Large Language Model</w:t>
        <w:br/>
        <w:t>Framework for Advanced Cyber Threat Detection</w:t>
        <w:br/>
        <w:t>and Analysis</w:t>
      </w:r>
    </w:p>
    <w:p>
      <w:pPr>
        <w:spacing w:after="720"/>
        <w:jc w:val="center"/>
      </w:pPr>
      <w:r>
        <w:rPr>
          <w:rFonts w:ascii="Calibri" w:hAnsi="Calibri"/>
          <w:i/>
          <w:color w:val="555555"/>
          <w:sz w:val="24"/>
        </w:rPr>
        <w:t>Real-time AI-powered cybersecurity monitoring, autonomous threat detection,</w:t>
        <w:br/>
        <w:t>and intelligent incident response dashboard</w:t>
      </w:r>
    </w:p>
    <w:tbl>
      <w:tblPr>
        <w:tblStyle w:val="TableGrid"/>
        <w:tblW w:type="auto" w:w="0"/>
        <w:tblLook w:firstColumn="1" w:firstRow="1" w:lastColumn="0" w:lastRow="0" w:noHBand="0" w:noVBand="1" w:val="04A0"/>
      </w:tblPr>
      <w:tblGrid>
        <w:gridCol w:w="8928"/>
      </w:tblGrid>
      <w:tr>
        <w:trPr>
          <w:trHeight w:val="40"/>
        </w:trPr>
        <w:tc>
          <w:tcPr>
            <w:tcW w:type="dxa" w:w="8928"/>
            <w:shd w:val="clear" w:color="auto" w:fill="003366"/>
          </w:tcPr>
          <w:p>
            <w:r/>
          </w:p>
        </w:tc>
      </w:tr>
    </w:tbl>
    <w:p>
      <w:pPr>
        <w:spacing w:after="120"/>
      </w:pPr>
    </w:p>
    <w:tbl>
      <w:tblPr>
        <w:tblW w:type="auto" w:w="0"/>
        <w:jc w:val="center"/>
        <w:tblLook w:firstColumn="1" w:firstRow="1" w:lastColumn="0" w:lastRow="0" w:noHBand="0" w:noVBand="1" w:val="04A0"/>
      </w:tblPr>
      <w:tblGrid>
        <w:gridCol w:w="4464"/>
        <w:gridCol w:w="4464"/>
      </w:tblGrid>
      <w:tr>
        <w:tc>
          <w:tcPr>
            <w:tcW w:type="dxa" w:w="4464"/>
            <w:tcBorders>
              <w:top w:val="single" w:sz="4" w:color="B0C4DE"/>
              <w:bottom w:val="single" w:sz="4" w:color="B0C4DE"/>
              <w:left w:val="single" w:sz="4" w:color="B0C4DE"/>
              <w:right w:val="single" w:sz="4" w:color="B0C4DE"/>
            </w:tcBorders>
          </w:tcPr>
          <w:p>
            <w:pPr>
              <w:spacing w:after="80"/>
            </w:pPr>
            <w:r>
              <w:rPr>
                <w:rFonts w:ascii="Calibri" w:hAnsi="Calibri"/>
                <w:b/>
                <w:color w:val="002750"/>
              </w:rPr>
              <w:t>Project Title:</w:t>
            </w:r>
          </w:p>
        </w:tc>
        <w:tc>
          <w:tcPr>
            <w:tcW w:type="dxa" w:w="4464"/>
            <w:tcBorders>
              <w:top w:val="single" w:sz="4" w:color="B0C4DE"/>
              <w:bottom w:val="single" w:sz="4" w:color="B0C4DE"/>
              <w:left w:val="single" w:sz="4" w:color="B0C4DE"/>
              <w:right w:val="single" w:sz="4" w:color="B0C4DE"/>
            </w:tcBorders>
          </w:tcPr>
          <w:p>
            <w:pPr>
              <w:spacing w:after="80"/>
            </w:pPr>
            <w:r>
              <w:rPr>
                <w:rFonts w:ascii="Calibri" w:hAnsi="Calibri"/>
                <w:sz w:val="22"/>
              </w:rPr>
              <w:t>SentinelGPT: An AI-Powered LLM Framework for Advanced Cyber Threat Detection</w:t>
            </w:r>
          </w:p>
        </w:tc>
      </w:tr>
      <w:tr>
        <w:tc>
          <w:tcPr>
            <w:tcW w:type="dxa" w:w="4464"/>
            <w:tcBorders>
              <w:top w:val="single" w:sz="4" w:color="B0C4DE"/>
              <w:bottom w:val="single" w:sz="4" w:color="B0C4DE"/>
              <w:left w:val="single" w:sz="4" w:color="B0C4DE"/>
              <w:right w:val="single" w:sz="4" w:color="B0C4DE"/>
            </w:tcBorders>
          </w:tcPr>
          <w:p>
            <w:pPr>
              <w:spacing w:after="80"/>
            </w:pPr>
            <w:r>
              <w:rPr>
                <w:rFonts w:ascii="Calibri" w:hAnsi="Calibri"/>
                <w:b/>
                <w:color w:val="002750"/>
              </w:rPr>
              <w:t>Submitted by:</w:t>
            </w:r>
          </w:p>
        </w:tc>
        <w:tc>
          <w:tcPr>
            <w:tcW w:type="dxa" w:w="4464"/>
            <w:tcBorders>
              <w:top w:val="single" w:sz="4" w:color="B0C4DE"/>
              <w:bottom w:val="single" w:sz="4" w:color="B0C4DE"/>
              <w:left w:val="single" w:sz="4" w:color="B0C4DE"/>
              <w:right w:val="single" w:sz="4" w:color="B0C4DE"/>
            </w:tcBorders>
          </w:tcPr>
          <w:p>
            <w:pPr>
              <w:spacing w:after="80"/>
            </w:pPr>
            <w:r>
              <w:rPr>
                <w:rFonts w:ascii="Calibri" w:hAnsi="Calibri"/>
                <w:sz w:val="22"/>
              </w:rPr>
              <w:t>Pravallika Kalangi</w:t>
            </w:r>
          </w:p>
        </w:tc>
      </w:tr>
      <w:tr>
        <w:tc>
          <w:tcPr>
            <w:tcW w:type="dxa" w:w="4464"/>
            <w:tcBorders>
              <w:top w:val="single" w:sz="4" w:color="B0C4DE"/>
              <w:bottom w:val="single" w:sz="4" w:color="B0C4DE"/>
              <w:left w:val="single" w:sz="4" w:color="B0C4DE"/>
              <w:right w:val="single" w:sz="4" w:color="B0C4DE"/>
            </w:tcBorders>
          </w:tcPr>
          <w:p>
            <w:pPr>
              <w:spacing w:after="80"/>
            </w:pPr>
            <w:r>
              <w:rPr>
                <w:rFonts w:ascii="Calibri" w:hAnsi="Calibri"/>
                <w:b/>
                <w:color w:val="002750"/>
              </w:rPr>
              <w:t>Roll Number:</w:t>
            </w:r>
          </w:p>
        </w:tc>
        <w:tc>
          <w:tcPr>
            <w:tcW w:type="dxa" w:w="4464"/>
            <w:tcBorders>
              <w:top w:val="single" w:sz="4" w:color="B0C4DE"/>
              <w:bottom w:val="single" w:sz="4" w:color="B0C4DE"/>
              <w:left w:val="single" w:sz="4" w:color="B0C4DE"/>
              <w:right w:val="single" w:sz="4" w:color="B0C4DE"/>
            </w:tcBorders>
          </w:tcPr>
          <w:p>
            <w:pPr>
              <w:spacing w:after="80"/>
            </w:pPr>
            <w:r>
              <w:rPr>
                <w:rFonts w:ascii="Calibri" w:hAnsi="Calibri"/>
                <w:sz w:val="22"/>
              </w:rPr>
              <w:t>24VV1F0044</w:t>
            </w:r>
          </w:p>
        </w:tc>
      </w:tr>
      <w:tr>
        <w:tc>
          <w:tcPr>
            <w:tcW w:type="dxa" w:w="4464"/>
            <w:tcBorders>
              <w:top w:val="single" w:sz="4" w:color="B0C4DE"/>
              <w:bottom w:val="single" w:sz="4" w:color="B0C4DE"/>
              <w:left w:val="single" w:sz="4" w:color="B0C4DE"/>
              <w:right w:val="single" w:sz="4" w:color="B0C4DE"/>
            </w:tcBorders>
          </w:tcPr>
          <w:p>
            <w:pPr>
              <w:spacing w:after="80"/>
            </w:pPr>
            <w:r>
              <w:rPr>
                <w:rFonts w:ascii="Calibri" w:hAnsi="Calibri"/>
                <w:b/>
                <w:color w:val="002750"/>
              </w:rPr>
              <w:t>Programme:</w:t>
            </w:r>
          </w:p>
        </w:tc>
        <w:tc>
          <w:tcPr>
            <w:tcW w:type="dxa" w:w="4464"/>
            <w:tcBorders>
              <w:top w:val="single" w:sz="4" w:color="B0C4DE"/>
              <w:bottom w:val="single" w:sz="4" w:color="B0C4DE"/>
              <w:left w:val="single" w:sz="4" w:color="B0C4DE"/>
              <w:right w:val="single" w:sz="4" w:color="B0C4DE"/>
            </w:tcBorders>
          </w:tcPr>
          <w:p>
            <w:pPr>
              <w:spacing w:after="80"/>
            </w:pPr>
            <w:r>
              <w:rPr>
                <w:rFonts w:ascii="Calibri" w:hAnsi="Calibri"/>
                <w:sz w:val="22"/>
              </w:rPr>
              <w:t>Master of Computer Applications (MCA) — 2nd Year</w:t>
            </w:r>
          </w:p>
        </w:tc>
      </w:tr>
      <w:tr>
        <w:tc>
          <w:tcPr>
            <w:tcW w:type="dxa" w:w="4464"/>
            <w:tcBorders>
              <w:top w:val="single" w:sz="4" w:color="B0C4DE"/>
              <w:bottom w:val="single" w:sz="4" w:color="B0C4DE"/>
              <w:left w:val="single" w:sz="4" w:color="B0C4DE"/>
              <w:right w:val="single" w:sz="4" w:color="B0C4DE"/>
            </w:tcBorders>
          </w:tcPr>
          <w:p>
            <w:pPr>
              <w:spacing w:after="80"/>
            </w:pPr>
            <w:r>
              <w:rPr>
                <w:rFonts w:ascii="Calibri" w:hAnsi="Calibri"/>
                <w:b/>
                <w:color w:val="002750"/>
              </w:rPr>
              <w:t>Live Deployment:</w:t>
            </w:r>
          </w:p>
        </w:tc>
        <w:tc>
          <w:tcPr>
            <w:tcW w:type="dxa" w:w="4464"/>
            <w:tcBorders>
              <w:top w:val="single" w:sz="4" w:color="B0C4DE"/>
              <w:bottom w:val="single" w:sz="4" w:color="B0C4DE"/>
              <w:left w:val="single" w:sz="4" w:color="B0C4DE"/>
              <w:right w:val="single" w:sz="4" w:color="B0C4DE"/>
            </w:tcBorders>
          </w:tcPr>
          <w:p>
            <w:pPr>
              <w:spacing w:after="80"/>
            </w:pPr>
            <w:r>
              <w:rPr>
                <w:rFonts w:ascii="Calibri" w:hAnsi="Calibri"/>
                <w:sz w:val="22"/>
              </w:rPr>
              <w:t>https://sentinelgpt-ai.vercel.app</w:t>
            </w:r>
          </w:p>
        </w:tc>
      </w:tr>
      <w:tr>
        <w:tc>
          <w:tcPr>
            <w:tcW w:type="dxa" w:w="4464"/>
            <w:tcBorders>
              <w:top w:val="single" w:sz="4" w:color="B0C4DE"/>
              <w:bottom w:val="single" w:sz="4" w:color="B0C4DE"/>
              <w:left w:val="single" w:sz="4" w:color="B0C4DE"/>
              <w:right w:val="single" w:sz="4" w:color="B0C4DE"/>
            </w:tcBorders>
          </w:tcPr>
          <w:p>
            <w:pPr>
              <w:spacing w:after="80"/>
            </w:pPr>
            <w:r>
              <w:rPr>
                <w:rFonts w:ascii="Calibri" w:hAnsi="Calibri"/>
                <w:b/>
                <w:color w:val="002750"/>
              </w:rPr>
              <w:t>GitHub Repository:</w:t>
            </w:r>
          </w:p>
        </w:tc>
        <w:tc>
          <w:tcPr>
            <w:tcW w:type="dxa" w:w="4464"/>
            <w:tcBorders>
              <w:top w:val="single" w:sz="4" w:color="B0C4DE"/>
              <w:bottom w:val="single" w:sz="4" w:color="B0C4DE"/>
              <w:left w:val="single" w:sz="4" w:color="B0C4DE"/>
              <w:right w:val="single" w:sz="4" w:color="B0C4DE"/>
            </w:tcBorders>
          </w:tcPr>
          <w:p>
            <w:pPr>
              <w:spacing w:after="80"/>
            </w:pPr>
            <w:r>
              <w:rPr>
                <w:rFonts w:ascii="Calibri" w:hAnsi="Calibri"/>
                <w:sz w:val="22"/>
              </w:rPr>
              <w:t>https://github.com/Pravallika2025/sentigraud-ai-.git</w:t>
            </w:r>
          </w:p>
        </w:tc>
      </w:tr>
    </w:tbl>
    <w:p>
      <w:r>
        <w:br w:type="page"/>
      </w:r>
    </w:p>
    <w:p>
      <w:pPr>
        <w:spacing w:before="320" w:after="100"/>
        <w:pBdr>
          <w:bottom w:val="single" w:sz="6" w:space="1" w:color="003366"/>
        </w:pBdr>
      </w:pPr>
      <w:r>
        <w:rPr>
          <w:rFonts w:ascii="Calibri" w:hAnsi="Calibri"/>
          <w:b/>
          <w:color w:val="002750"/>
          <w:sz w:val="30"/>
        </w:rPr>
        <w:t>1.  Problem Statement</w:t>
      </w:r>
    </w:p>
    <w:p>
      <w:pPr>
        <w:spacing w:before="0" w:after="120" w:line="288" w:lineRule="auto"/>
        <w:jc w:val="both"/>
      </w:pPr>
      <w:r>
        <w:rPr>
          <w:rFonts w:ascii="Calibri" w:hAnsi="Calibri"/>
        </w:rPr>
        <w:t>Modern cybersecurity operations face severe challenges managing the overwhelming volume of network telemetry and security alerts generated by enterprise IT infrastructure. Security Information and Event Management (SIEM) systems process millions of event logs, network probes, and API requests daily. Many organizations still rely heavily on manual log inspection, static firewall rules, and fragmented monitoring tools — creating serious operational bottlenecks, severe analyst alert fatigue, and dangerously slow incident response times that allow threats to propagate unchecked through internal networks.</w:t>
      </w:r>
    </w:p>
    <w:p>
      <w:pPr>
        <w:spacing w:before="0" w:after="120" w:line="288" w:lineRule="auto"/>
        <w:jc w:val="both"/>
      </w:pPr>
      <w:r>
        <w:rPr>
          <w:rFonts w:ascii="Calibri" w:hAnsi="Calibri"/>
        </w:rPr>
        <w:t>A central challenge is identifying sophisticated multi-stage attacks such as credential stuffing, Distributed Denial of Service (DDoS) vectors, SQL injection payloads, and brute-force authentication spikes. Traditional rule-based intrusion detection systems generate high rates of false positives while failing to correlate anomalous network behavior with recognized attack frameworks like MITRE ATT&amp;CK. Manual quarantine procedures further delay response, exposing internal networks to lateral movement and unauthorized data exfiltration.</w:t>
      </w:r>
    </w:p>
    <w:p>
      <w:pPr>
        <w:spacing w:before="0" w:after="120" w:line="288" w:lineRule="auto"/>
        <w:jc w:val="both"/>
      </w:pPr>
      <w:r>
        <w:rPr>
          <w:rFonts w:ascii="Calibri" w:hAnsi="Calibri"/>
        </w:rPr>
        <w:t>Existing security dashboards lack transparent decision-making, intelligent payload analysis, and real-time visualization. Analysts are left without instant remediation guidance, unsure why a specific threat score was assigned or which immediate countermeasures to execute.</w:t>
      </w:r>
    </w:p>
    <w:p>
      <w:pPr>
        <w:spacing w:before="0" w:after="120" w:line="288" w:lineRule="auto"/>
        <w:jc w:val="both"/>
      </w:pPr>
      <w:r>
        <w:rPr>
          <w:rFonts w:ascii="Calibri" w:hAnsi="Calibri"/>
        </w:rPr>
        <w:t>To address these challenges, this project presents SentinelGPT — an AI-Powered Large Language Model Framework for Advanced Cyber Threat Detection and Analysis. The system uses intelligent software agents to automatically monitor network telemetry, compute risk scores via heuristic anomaly algorithms, map threats to MITRE ATT&amp;CK techniques, and autonomously quarantine high-risk IP addresses — drastically reducing manual effort and incident response latency.</w:t>
      </w:r>
    </w:p>
    <w:p>
      <w:pPr>
        <w:spacing w:before="320" w:after="100"/>
        <w:pBdr>
          <w:bottom w:val="single" w:sz="6" w:space="1" w:color="003366"/>
        </w:pBdr>
      </w:pPr>
      <w:r>
        <w:rPr>
          <w:rFonts w:ascii="Calibri" w:hAnsi="Calibri"/>
          <w:b/>
          <w:color w:val="002750"/>
          <w:sz w:val="30"/>
        </w:rPr>
        <w:t>2.  Difference: Traditional System vs. Proposed SentinelGPT</w:t>
      </w:r>
    </w:p>
    <w:p>
      <w:pPr>
        <w:spacing w:before="0" w:after="120" w:line="288" w:lineRule="auto"/>
        <w:jc w:val="both"/>
      </w:pPr>
      <w:r>
        <w:rPr>
          <w:rFonts w:ascii="Calibri" w:hAnsi="Calibri"/>
        </w:rPr>
        <w:t>The table below contrasts conventional security operations with the proposed SentinelGPT AI-powered system across key operational dimensions:</w:t>
      </w:r>
    </w:p>
    <w:tbl>
      <w:tblPr>
        <w:tblStyle w:val="TableGrid"/>
        <w:tblW w:type="auto" w:w="0"/>
        <w:jc w:val="center"/>
        <w:tblLook w:firstColumn="1" w:firstRow="1" w:lastColumn="0" w:lastRow="0" w:noHBand="0" w:noVBand="1" w:val="04A0"/>
      </w:tblPr>
      <w:tblGrid>
        <w:gridCol w:w="4464"/>
        <w:gridCol w:w="4464"/>
      </w:tblGrid>
      <w:tr>
        <w:tc>
          <w:tcPr>
            <w:tcW w:type="dxa" w:w="4464"/>
            <w:shd w:val="clear" w:color="auto" w:fill="003366"/>
          </w:tcPr>
          <w:p>
            <w:pPr>
              <w:jc w:val="center"/>
            </w:pPr>
            <w:r>
              <w:rPr>
                <w:rFonts w:ascii="Calibri" w:hAnsi="Calibri"/>
                <w:b/>
                <w:color w:val="FFFFFF"/>
                <w:sz w:val="22"/>
              </w:rPr>
              <w:t>Traditional Security System</w:t>
            </w:r>
          </w:p>
        </w:tc>
        <w:tc>
          <w:tcPr>
            <w:tcW w:type="dxa" w:w="4464"/>
            <w:shd w:val="clear" w:color="auto" w:fill="003366"/>
          </w:tcPr>
          <w:p>
            <w:pPr>
              <w:jc w:val="center"/>
            </w:pPr>
            <w:r>
              <w:rPr>
                <w:rFonts w:ascii="Calibri" w:hAnsi="Calibri"/>
                <w:b/>
                <w:color w:val="FFFFFF"/>
                <w:sz w:val="22"/>
              </w:rPr>
              <w:t>Proposed SentinelGPT System</w:t>
            </w:r>
          </w:p>
        </w:tc>
      </w:tr>
      <w:tr>
        <w:tc>
          <w:tcPr>
            <w:tcW w:type="dxa" w:w="4464"/>
            <w:shd w:val="clear" w:color="auto" w:fill="EEF4FB"/>
          </w:tcPr>
          <w:p>
            <w:pPr>
              <w:spacing w:before="60" w:after="60"/>
            </w:pPr>
            <w:r>
              <w:rPr>
                <w:rFonts w:ascii="Calibri" w:hAnsi="Calibri"/>
              </w:rPr>
              <w:t>Manual log inspection; static firewall rules; delayed response.</w:t>
            </w:r>
          </w:p>
        </w:tc>
        <w:tc>
          <w:tcPr>
            <w:tcW w:type="dxa" w:w="4464"/>
            <w:shd w:val="clear" w:color="auto" w:fill="EEF4FB"/>
          </w:tcPr>
          <w:p>
            <w:pPr>
              <w:spacing w:before="60" w:after="60"/>
            </w:pPr>
            <w:r>
              <w:rPr>
                <w:rFonts w:ascii="Calibri" w:hAnsi="Calibri"/>
              </w:rPr>
              <w:t>Autonomous agents monitor telemetry 24/7 with zero manual input required.</w:t>
            </w:r>
          </w:p>
        </w:tc>
      </w:tr>
      <w:tr>
        <w:tc>
          <w:tcPr>
            <w:tcW w:type="dxa" w:w="4464"/>
          </w:tcPr>
          <w:p>
            <w:pPr>
              <w:spacing w:before="60" w:after="60"/>
            </w:pPr>
            <w:r>
              <w:rPr>
                <w:rFonts w:ascii="Calibri" w:hAnsi="Calibri"/>
              </w:rPr>
              <w:t>High alert fatigue; delayed incident detection.</w:t>
            </w:r>
          </w:p>
        </w:tc>
        <w:tc>
          <w:tcPr>
            <w:tcW w:type="dxa" w:w="4464"/>
          </w:tcPr>
          <w:p>
            <w:pPr>
              <w:spacing w:before="60" w:after="60"/>
            </w:pPr>
            <w:r>
              <w:rPr>
                <w:rFonts w:ascii="Calibri" w:hAnsi="Calibri"/>
              </w:rPr>
              <w:t>Heuristic scoring (0–100) eliminates alert fatigue; threats detected instantly.</w:t>
            </w:r>
          </w:p>
        </w:tc>
      </w:tr>
      <w:tr>
        <w:tc>
          <w:tcPr>
            <w:tcW w:type="dxa" w:w="4464"/>
            <w:shd w:val="clear" w:color="auto" w:fill="EEF4FB"/>
          </w:tcPr>
          <w:p>
            <w:pPr>
              <w:spacing w:before="60" w:after="60"/>
            </w:pPr>
            <w:r>
              <w:rPr>
                <w:rFonts w:ascii="Calibri" w:hAnsi="Calibri"/>
              </w:rPr>
              <w:t>IP blocking requires manual admin intervention and rule updates.</w:t>
            </w:r>
          </w:p>
        </w:tc>
        <w:tc>
          <w:tcPr>
            <w:tcW w:type="dxa" w:w="4464"/>
            <w:shd w:val="clear" w:color="auto" w:fill="EEF4FB"/>
          </w:tcPr>
          <w:p>
            <w:pPr>
              <w:spacing w:before="60" w:after="60"/>
            </w:pPr>
            <w:r>
              <w:rPr>
                <w:rFonts w:ascii="Calibri" w:hAnsi="Calibri"/>
              </w:rPr>
              <w:t>Autonomous Quarantine Agent auto-isolates IPs scoring ≥75 in real time.</w:t>
            </w:r>
          </w:p>
        </w:tc>
      </w:tr>
      <w:tr>
        <w:tc>
          <w:tcPr>
            <w:tcW w:type="dxa" w:w="4464"/>
          </w:tcPr>
          <w:p>
            <w:pPr>
              <w:spacing w:before="60" w:after="60"/>
            </w:pPr>
            <w:r>
              <w:rPr>
                <w:rFonts w:ascii="Calibri" w:hAnsi="Calibri"/>
              </w:rPr>
              <w:t>Lacks standardized MITRE ATT&amp;CK threat-framework alignment.</w:t>
            </w:r>
          </w:p>
        </w:tc>
        <w:tc>
          <w:tcPr>
            <w:tcW w:type="dxa" w:w="4464"/>
          </w:tcPr>
          <w:p>
            <w:pPr>
              <w:spacing w:before="60" w:after="60"/>
            </w:pPr>
            <w:r>
              <w:rPr>
                <w:rFonts w:ascii="Calibri" w:hAnsi="Calibri"/>
              </w:rPr>
              <w:t>All incidents automatically mapped to MITRE ATT&amp;CK tactics and techniques.</w:t>
            </w:r>
          </w:p>
        </w:tc>
      </w:tr>
      <w:tr>
        <w:tc>
          <w:tcPr>
            <w:tcW w:type="dxa" w:w="4464"/>
            <w:shd w:val="clear" w:color="auto" w:fill="EEF4FB"/>
          </w:tcPr>
          <w:p>
            <w:pPr>
              <w:spacing w:before="60" w:after="60"/>
            </w:pPr>
            <w:r>
              <w:rPr>
                <w:rFonts w:ascii="Calibri" w:hAnsi="Calibri"/>
              </w:rPr>
              <w:t>Triage requires lengthy manual research by analysts.</w:t>
            </w:r>
          </w:p>
        </w:tc>
        <w:tc>
          <w:tcPr>
            <w:tcW w:type="dxa" w:w="4464"/>
            <w:shd w:val="clear" w:color="auto" w:fill="EEF4FB"/>
          </w:tcPr>
          <w:p>
            <w:pPr>
              <w:spacing w:before="60" w:after="60"/>
            </w:pPr>
            <w:r>
              <w:rPr>
                <w:rFonts w:ascii="Calibri" w:hAnsi="Calibri"/>
              </w:rPr>
              <w:t>Integrated AI Triage Assistant delivers instant remediation guidance.</w:t>
            </w:r>
          </w:p>
        </w:tc>
      </w:tr>
      <w:tr>
        <w:tc>
          <w:tcPr>
            <w:tcW w:type="dxa" w:w="4464"/>
          </w:tcPr>
          <w:p>
            <w:pPr>
              <w:spacing w:before="60" w:after="60"/>
            </w:pPr>
            <w:r>
              <w:rPr>
                <w:rFonts w:ascii="Calibri" w:hAnsi="Calibri"/>
              </w:rPr>
              <w:t>Limited real-time visualization of threat velocity.</w:t>
            </w:r>
          </w:p>
        </w:tc>
        <w:tc>
          <w:tcPr>
            <w:tcW w:type="dxa" w:w="4464"/>
          </w:tcPr>
          <w:p>
            <w:pPr>
              <w:spacing w:before="60" w:after="60"/>
            </w:pPr>
            <w:r>
              <w:rPr>
                <w:rFonts w:ascii="Calibri" w:hAnsi="Calibri"/>
              </w:rPr>
              <w:t>Glassmorphic dashboard with live telemetry charts and perimeter heatmaps.</w:t>
            </w:r>
          </w:p>
        </w:tc>
      </w:tr>
      <w:tr>
        <w:tc>
          <w:tcPr>
            <w:tcW w:type="dxa" w:w="4464"/>
            <w:shd w:val="clear" w:color="auto" w:fill="EEF4FB"/>
          </w:tcPr>
          <w:p>
            <w:pPr>
              <w:spacing w:before="60" w:after="60"/>
            </w:pPr>
            <w:r>
              <w:rPr>
                <w:rFonts w:ascii="Calibri" w:hAnsi="Calibri"/>
              </w:rPr>
              <w:t>Payload analysis performed manually with external tools.</w:t>
            </w:r>
          </w:p>
        </w:tc>
        <w:tc>
          <w:tcPr>
            <w:tcW w:type="dxa" w:w="4464"/>
            <w:shd w:val="clear" w:color="auto" w:fill="EEF4FB"/>
          </w:tcPr>
          <w:p>
            <w:pPr>
              <w:spacing w:before="60" w:after="60"/>
            </w:pPr>
            <w:r>
              <w:rPr>
                <w:rFonts w:ascii="Calibri" w:hAnsi="Calibri"/>
              </w:rPr>
              <w:t>Built-in Payload Scanner auto-analyzes files with verdict reports.</w:t>
            </w:r>
          </w:p>
        </w:tc>
      </w:tr>
      <w:tr>
        <w:tc>
          <w:tcPr>
            <w:tcW w:type="dxa" w:w="4464"/>
          </w:tcPr>
          <w:p>
            <w:pPr>
              <w:spacing w:before="60" w:after="60"/>
            </w:pPr>
            <w:r>
              <w:rPr>
                <w:rFonts w:ascii="Calibri" w:hAnsi="Calibri"/>
              </w:rPr>
              <w:t>Incident data export requires manual log collection.</w:t>
            </w:r>
          </w:p>
        </w:tc>
        <w:tc>
          <w:tcPr>
            <w:tcW w:type="dxa" w:w="4464"/>
          </w:tcPr>
          <w:p>
            <w:pPr>
              <w:spacing w:before="60" w:after="60"/>
            </w:pPr>
            <w:r>
              <w:rPr>
                <w:rFonts w:ascii="Calibri" w:hAnsi="Calibri"/>
              </w:rPr>
              <w:t>Instant JSON incident-log export via REST API (/api/export).</w:t>
            </w:r>
          </w:p>
        </w:tc>
      </w:tr>
    </w:tbl>
    <w:p>
      <w:r>
        <w:br w:type="page"/>
      </w:r>
    </w:p>
    <w:p>
      <w:pPr>
        <w:spacing w:before="320" w:after="100"/>
        <w:pBdr>
          <w:bottom w:val="single" w:sz="6" w:space="1" w:color="003366"/>
        </w:pBdr>
      </w:pPr>
      <w:r>
        <w:rPr>
          <w:rFonts w:ascii="Calibri" w:hAnsi="Calibri"/>
          <w:b/>
          <w:color w:val="002750"/>
          <w:sz w:val="30"/>
        </w:rPr>
        <w:t>3.  Proposed Solution &amp; System Overview</w:t>
      </w:r>
    </w:p>
    <w:p>
      <w:pPr>
        <w:spacing w:before="0" w:after="120" w:line="288" w:lineRule="auto"/>
        <w:jc w:val="both"/>
      </w:pPr>
      <w:r>
        <w:rPr>
          <w:rFonts w:ascii="Calibri" w:hAnsi="Calibri"/>
        </w:rPr>
        <w:t>SentinelGPT is an intelligent, full-stack, cloud-native cyber defense application that automates threat detection, security monitoring, and incident mitigation. It uses intelligent software agents that continuously evaluate network telemetry against heuristic scoring models and security policies, replacing slow manual workflows with instant automated decisions.</w:t>
      </w:r>
    </w:p>
    <w:p>
      <w:pPr>
        <w:spacing w:before="0" w:after="120" w:line="288" w:lineRule="auto"/>
        <w:jc w:val="both"/>
      </w:pPr>
      <w:r>
        <w:rPr>
          <w:rFonts w:ascii="Calibri" w:hAnsi="Calibri"/>
        </w:rPr>
        <w:t>The Telemetry Monitor Agent analyzes packet rates, IP origins, and request patterns to compute a risk score (0–100). Each incident is mapped to a MITRE ATT&amp;CK technique (e.g., T1078 Valid Accounts, T1498 Network DoS, T1190 Exploit Public App) and enriched with AI-driven remediation guidance. When a score reaches or exceeds 75, the Autonomous Quarantine Agent immediately isolates the offending IP in the database — providing administrators full manual override and revocation control.</w:t>
      </w:r>
    </w:p>
    <w:p>
      <w:pPr>
        <w:spacing w:before="320" w:after="100"/>
        <w:pBdr>
          <w:bottom w:val="single" w:sz="6" w:space="1" w:color="003366"/>
        </w:pBdr>
      </w:pPr>
      <w:r>
        <w:rPr>
          <w:rFonts w:ascii="Calibri" w:hAnsi="Calibri"/>
          <w:b/>
          <w:color w:val="002750"/>
          <w:sz w:val="30"/>
        </w:rPr>
        <w:t>4.  System Architecture</w:t>
      </w:r>
    </w:p>
    <w:p>
      <w:pPr>
        <w:spacing w:before="0" w:after="120" w:line="288" w:lineRule="auto"/>
        <w:jc w:val="both"/>
      </w:pPr>
      <w:r>
        <w:rPr>
          <w:rFonts w:ascii="Calibri" w:hAnsi="Calibri"/>
        </w:rPr>
        <w:t>SentinelGPT follows a modular, decoupled architecture. The operator authenticates via the React SPA frontend, which connects to the FastAPI backend controller for telemetry snapshots and WebSocket streaming. Two intelligent agents process telemetry: the Telemetry Monitor Agent (anomaly scoring + MITRE ATT&amp;CK mapping) and the Autonomous Quarantine Agent (IP isolation + validation). All incident logs and quarantine data are stored via SQLAlchemy ORM in SQLite.</w:t>
      </w:r>
    </w:p>
    <w:p>
      <w:pPr>
        <w:spacing w:before="160" w:after="60"/>
        <w:jc w:val="center"/>
      </w:pPr>
      <w:r>
        <w:drawing>
          <wp:inline xmlns:a="http://schemas.openxmlformats.org/drawingml/2006/main" xmlns:pic="http://schemas.openxmlformats.org/drawingml/2006/picture">
            <wp:extent cx="5394960" cy="3763926"/>
            <wp:docPr id="1" name="Picture 1"/>
            <wp:cNvGraphicFramePr>
              <a:graphicFrameLocks noChangeAspect="1"/>
            </wp:cNvGraphicFramePr>
            <a:graphic>
              <a:graphicData uri="http://schemas.openxmlformats.org/drawingml/2006/picture">
                <pic:pic>
                  <pic:nvPicPr>
                    <pic:cNvPr id="0" name="arch_diagram.png"/>
                    <pic:cNvPicPr/>
                  </pic:nvPicPr>
                  <pic:blipFill>
                    <a:blip r:embed="rId9"/>
                    <a:stretch>
                      <a:fillRect/>
                    </a:stretch>
                  </pic:blipFill>
                  <pic:spPr>
                    <a:xfrm>
                      <a:off x="0" y="0"/>
                      <a:ext cx="5394960" cy="3763926"/>
                    </a:xfrm>
                    <a:prstGeom prst="rect"/>
                  </pic:spPr>
                </pic:pic>
              </a:graphicData>
            </a:graphic>
          </wp:inline>
        </w:drawing>
      </w:r>
    </w:p>
    <w:p>
      <w:pPr>
        <w:spacing w:after="200"/>
        <w:jc w:val="center"/>
      </w:pPr>
      <w:r>
        <w:rPr>
          <w:rFonts w:ascii="Calibri" w:hAnsi="Calibri"/>
          <w:i/>
          <w:color w:val="555555"/>
          <w:sz w:val="19"/>
        </w:rPr>
        <w:t>Figure 1: SentinelGPT End-to-End System Architecture</w:t>
      </w:r>
    </w:p>
    <w:p>
      <w:pPr>
        <w:spacing w:before="320" w:after="100"/>
        <w:pBdr>
          <w:bottom w:val="single" w:sz="6" w:space="1" w:color="003366"/>
        </w:pBdr>
      </w:pPr>
      <w:r>
        <w:rPr>
          <w:rFonts w:ascii="Calibri" w:hAnsi="Calibri"/>
          <w:b/>
          <w:color w:val="002750"/>
          <w:sz w:val="30"/>
        </w:rPr>
        <w:t>5.  Technologies Used</w:t>
      </w:r>
    </w:p>
    <w:p>
      <w:pPr>
        <w:spacing w:before="200" w:after="60"/>
      </w:pPr>
      <w:r>
        <w:rPr>
          <w:rFonts w:ascii="Calibri" w:hAnsi="Calibri"/>
          <w:b/>
          <w:color w:val="005F8E"/>
          <w:sz w:val="24"/>
        </w:rPr>
        <w:t>Frontend Stack</w:t>
      </w:r>
    </w:p>
    <w:p>
      <w:pPr>
        <w:pStyle w:val="ListBullet"/>
        <w:spacing w:before="0" w:after="60" w:line="276" w:lineRule="auto"/>
        <w:ind w:left="432"/>
        <w:jc w:val="both"/>
      </w:pPr>
      <w:r>
        <w:rPr>
          <w:rFonts w:ascii="Calibri" w:hAnsi="Calibri"/>
          <w:b/>
          <w:color w:val="002750"/>
        </w:rPr>
        <w:t xml:space="preserve">React 19: </w:t>
      </w:r>
      <w:r>
        <w:rPr>
          <w:rFonts w:ascii="Calibri" w:hAnsi="Calibri"/>
        </w:rPr>
        <w:t>UI library for dynamic glassmorphic component trees and real-time state management.</w:t>
      </w:r>
    </w:p>
    <w:p>
      <w:pPr>
        <w:pStyle w:val="ListBullet"/>
        <w:spacing w:before="0" w:after="60" w:line="276" w:lineRule="auto"/>
        <w:ind w:left="432"/>
        <w:jc w:val="both"/>
      </w:pPr>
      <w:r>
        <w:rPr>
          <w:rFonts w:ascii="Calibri" w:hAnsi="Calibri"/>
          <w:b/>
          <w:color w:val="002750"/>
        </w:rPr>
        <w:t xml:space="preserve">Vite 5.4: </w:t>
      </w:r>
      <w:r>
        <w:rPr>
          <w:rFonts w:ascii="Calibri" w:hAnsi="Calibri"/>
        </w:rPr>
        <w:t>Next-gen build tool — fast Hot Module Replacement and optimized production bundles.</w:t>
      </w:r>
    </w:p>
    <w:p>
      <w:pPr>
        <w:pStyle w:val="ListBullet"/>
        <w:spacing w:before="0" w:after="60" w:line="276" w:lineRule="auto"/>
        <w:ind w:left="432"/>
        <w:jc w:val="both"/>
      </w:pPr>
      <w:r>
        <w:rPr>
          <w:rFonts w:ascii="Calibri" w:hAnsi="Calibri"/>
          <w:b/>
          <w:color w:val="002750"/>
        </w:rPr>
        <w:t xml:space="preserve">Recharts: </w:t>
      </w:r>
      <w:r>
        <w:rPr>
          <w:rFonts w:ascii="Calibri" w:hAnsi="Calibri"/>
        </w:rPr>
        <w:t>Data visualization library — threat velocity charts, risk gauges, severity donuts.</w:t>
      </w:r>
    </w:p>
    <w:p>
      <w:pPr>
        <w:pStyle w:val="ListBullet"/>
        <w:spacing w:before="0" w:after="60" w:line="276" w:lineRule="auto"/>
        <w:ind w:left="432"/>
        <w:jc w:val="both"/>
      </w:pPr>
      <w:r>
        <w:rPr>
          <w:rFonts w:ascii="Calibri" w:hAnsi="Calibri"/>
          <w:b/>
          <w:color w:val="002750"/>
        </w:rPr>
        <w:t xml:space="preserve">Web Audio API: </w:t>
      </w:r>
      <w:r>
        <w:rPr>
          <w:rFonts w:ascii="Calibri" w:hAnsi="Calibri"/>
        </w:rPr>
        <w:t>Browser-native alarm system that plays audio alerts on critical threat detection.</w:t>
      </w:r>
    </w:p>
    <w:p>
      <w:pPr>
        <w:spacing w:before="200" w:after="60"/>
      </w:pPr>
      <w:r>
        <w:rPr>
          <w:rFonts w:ascii="Calibri" w:hAnsi="Calibri"/>
          <w:b/>
          <w:color w:val="005F8E"/>
          <w:sz w:val="24"/>
        </w:rPr>
        <w:t>Backend Stack</w:t>
      </w:r>
    </w:p>
    <w:p>
      <w:pPr>
        <w:pStyle w:val="ListBullet"/>
        <w:spacing w:before="0" w:after="60" w:line="276" w:lineRule="auto"/>
        <w:ind w:left="432"/>
        <w:jc w:val="both"/>
      </w:pPr>
      <w:r>
        <w:rPr>
          <w:rFonts w:ascii="Calibri" w:hAnsi="Calibri"/>
          <w:b/>
          <w:color w:val="002750"/>
        </w:rPr>
        <w:t xml:space="preserve">Python 3.11+: </w:t>
      </w:r>
      <w:r>
        <w:rPr>
          <w:rFonts w:ascii="Calibri" w:hAnsi="Calibri"/>
        </w:rPr>
        <w:t>Core language for agent logic, threat heuristics, and database models.</w:t>
      </w:r>
    </w:p>
    <w:p>
      <w:pPr>
        <w:pStyle w:val="ListBullet"/>
        <w:spacing w:before="0" w:after="60" w:line="276" w:lineRule="auto"/>
        <w:ind w:left="432"/>
        <w:jc w:val="both"/>
      </w:pPr>
      <w:r>
        <w:rPr>
          <w:rFonts w:ascii="Calibri" w:hAnsi="Calibri"/>
          <w:b/>
          <w:color w:val="002750"/>
        </w:rPr>
        <w:t xml:space="preserve">FastAPI: </w:t>
      </w:r>
      <w:r>
        <w:rPr>
          <w:rFonts w:ascii="Calibri" w:hAnsi="Calibri"/>
        </w:rPr>
        <w:t>Async, high-performance framework — RESTful API, WebSockets, auto Swagger docs.</w:t>
      </w:r>
    </w:p>
    <w:p>
      <w:pPr>
        <w:pStyle w:val="ListBullet"/>
        <w:spacing w:before="0" w:after="60" w:line="276" w:lineRule="auto"/>
        <w:ind w:left="432"/>
        <w:jc w:val="both"/>
      </w:pPr>
      <w:r>
        <w:rPr>
          <w:rFonts w:ascii="Calibri" w:hAnsi="Calibri"/>
          <w:b/>
          <w:color w:val="002750"/>
        </w:rPr>
        <w:t xml:space="preserve">Uvicorn: </w:t>
      </w:r>
      <w:r>
        <w:rPr>
          <w:rFonts w:ascii="Calibri" w:hAnsi="Calibri"/>
        </w:rPr>
        <w:t>ASGI server for local development and Vercel serverless function routing.</w:t>
      </w:r>
    </w:p>
    <w:p>
      <w:pPr>
        <w:pStyle w:val="ListBullet"/>
        <w:spacing w:before="0" w:after="60" w:line="276" w:lineRule="auto"/>
        <w:ind w:left="432"/>
        <w:jc w:val="both"/>
      </w:pPr>
      <w:r>
        <w:rPr>
          <w:rFonts w:ascii="Calibri" w:hAnsi="Calibri"/>
          <w:b/>
          <w:color w:val="002750"/>
        </w:rPr>
        <w:t xml:space="preserve">PyJWT: </w:t>
      </w:r>
      <w:r>
        <w:rPr>
          <w:rFonts w:ascii="Calibri" w:hAnsi="Calibri"/>
        </w:rPr>
        <w:t>HS256 JSON Web Token generation and validation — 8-hour expiring sessions.</w:t>
      </w:r>
    </w:p>
    <w:p>
      <w:pPr>
        <w:spacing w:before="200" w:after="60"/>
      </w:pPr>
      <w:r>
        <w:rPr>
          <w:rFonts w:ascii="Calibri" w:hAnsi="Calibri"/>
          <w:b/>
          <w:color w:val="005F8E"/>
          <w:sz w:val="24"/>
        </w:rPr>
        <w:t>Database &amp; Deployment</w:t>
      </w:r>
    </w:p>
    <w:p>
      <w:pPr>
        <w:pStyle w:val="ListBullet"/>
        <w:spacing w:before="0" w:after="60" w:line="276" w:lineRule="auto"/>
        <w:ind w:left="432"/>
        <w:jc w:val="both"/>
      </w:pPr>
      <w:r>
        <w:rPr>
          <w:rFonts w:ascii="Calibri" w:hAnsi="Calibri"/>
          <w:b/>
          <w:color w:val="002750"/>
        </w:rPr>
        <w:t xml:space="preserve">SQLAlchemy ORM: </w:t>
      </w:r>
      <w:r>
        <w:rPr>
          <w:rFonts w:ascii="Calibri" w:hAnsi="Calibri"/>
        </w:rPr>
        <w:t>Type-safe Python ORM for all database reads and writes.</w:t>
      </w:r>
    </w:p>
    <w:p>
      <w:pPr>
        <w:pStyle w:val="ListBullet"/>
        <w:spacing w:before="0" w:after="60" w:line="276" w:lineRule="auto"/>
        <w:ind w:left="432"/>
        <w:jc w:val="both"/>
      </w:pPr>
      <w:r>
        <w:rPr>
          <w:rFonts w:ascii="Calibri" w:hAnsi="Calibri"/>
          <w:b/>
          <w:color w:val="002750"/>
        </w:rPr>
        <w:t xml:space="preserve">SQLite: </w:t>
      </w:r>
      <w:r>
        <w:rPr>
          <w:rFonts w:ascii="Calibri" w:hAnsi="Calibri"/>
        </w:rPr>
        <w:t>Lightweight relational DB for incident logs, quarantine data, and user accounts.</w:t>
      </w:r>
    </w:p>
    <w:p>
      <w:pPr>
        <w:pStyle w:val="ListBullet"/>
        <w:spacing w:before="0" w:after="60" w:line="276" w:lineRule="auto"/>
        <w:ind w:left="432"/>
        <w:jc w:val="both"/>
      </w:pPr>
      <w:r>
        <w:rPr>
          <w:rFonts w:ascii="Calibri" w:hAnsi="Calibri"/>
          <w:b/>
          <w:color w:val="002750"/>
        </w:rPr>
        <w:t xml:space="preserve">Vercel Serverless: </w:t>
      </w:r>
      <w:r>
        <w:rPr>
          <w:rFonts w:ascii="Calibri" w:hAnsi="Calibri"/>
        </w:rPr>
        <w:t>Cloud host serving React static build and Python API functions at the edge.</w:t>
      </w:r>
    </w:p>
    <w:p>
      <w:pPr>
        <w:pStyle w:val="ListBullet"/>
        <w:spacing w:before="0" w:after="60" w:line="276" w:lineRule="auto"/>
        <w:ind w:left="432"/>
        <w:jc w:val="both"/>
      </w:pPr>
      <w:r>
        <w:rPr>
          <w:rFonts w:ascii="Calibri" w:hAnsi="Calibri"/>
          <w:b/>
          <w:color w:val="002750"/>
        </w:rPr>
        <w:t xml:space="preserve">GitHub Actions: </w:t>
      </w:r>
      <w:r>
        <w:rPr>
          <w:rFonts w:ascii="Calibri" w:hAnsi="Calibri"/>
        </w:rPr>
        <w:t>CI/CD pipeline — automated build and deploy on every push to main.</w:t>
      </w:r>
    </w:p>
    <w:p>
      <w:r>
        <w:br w:type="page"/>
      </w:r>
    </w:p>
    <w:p>
      <w:pPr>
        <w:spacing w:before="320" w:after="100"/>
        <w:pBdr>
          <w:bottom w:val="single" w:sz="6" w:space="1" w:color="003366"/>
        </w:pBdr>
      </w:pPr>
      <w:r>
        <w:rPr>
          <w:rFonts w:ascii="Calibri" w:hAnsi="Calibri"/>
          <w:b/>
          <w:color w:val="002750"/>
          <w:sz w:val="30"/>
        </w:rPr>
        <w:t>6.  Architecture Flow &amp; Agents Used</w:t>
      </w:r>
    </w:p>
    <w:p>
      <w:pPr>
        <w:spacing w:before="160" w:after="60"/>
        <w:jc w:val="center"/>
      </w:pPr>
      <w:r>
        <w:drawing>
          <wp:inline xmlns:a="http://schemas.openxmlformats.org/drawingml/2006/main" xmlns:pic="http://schemas.openxmlformats.org/drawingml/2006/picture">
            <wp:extent cx="5486400" cy="3317358"/>
            <wp:docPr id="2" name="Picture 2"/>
            <wp:cNvGraphicFramePr>
              <a:graphicFrameLocks noChangeAspect="1"/>
            </wp:cNvGraphicFramePr>
            <a:graphic>
              <a:graphicData uri="http://schemas.openxmlformats.org/drawingml/2006/picture">
                <pic:pic>
                  <pic:nvPicPr>
                    <pic:cNvPr id="0" name="workflow_diagram.png"/>
                    <pic:cNvPicPr/>
                  </pic:nvPicPr>
                  <pic:blipFill>
                    <a:blip r:embed="rId10"/>
                    <a:stretch>
                      <a:fillRect/>
                    </a:stretch>
                  </pic:blipFill>
                  <pic:spPr>
                    <a:xfrm>
                      <a:off x="0" y="0"/>
                      <a:ext cx="5486400" cy="3317358"/>
                    </a:xfrm>
                    <a:prstGeom prst="rect"/>
                  </pic:spPr>
                </pic:pic>
              </a:graphicData>
            </a:graphic>
          </wp:inline>
        </w:drawing>
      </w:r>
    </w:p>
    <w:p>
      <w:pPr>
        <w:spacing w:after="200"/>
        <w:jc w:val="center"/>
      </w:pPr>
      <w:r>
        <w:rPr>
          <w:rFonts w:ascii="Calibri" w:hAnsi="Calibri"/>
          <w:i/>
          <w:color w:val="555555"/>
          <w:sz w:val="19"/>
        </w:rPr>
        <w:t>Figure 2: Agent Workflow — From Telemetry Ingestion to SOC Output</w:t>
      </w:r>
    </w:p>
    <w:p>
      <w:pPr>
        <w:spacing w:before="200" w:after="60"/>
      </w:pPr>
      <w:r>
        <w:rPr>
          <w:rFonts w:ascii="Calibri" w:hAnsi="Calibri"/>
          <w:b/>
          <w:color w:val="005F8E"/>
          <w:sz w:val="24"/>
        </w:rPr>
        <w:t>Agent 1 — Telemetry Monitor &amp; Threat Detection Agent</w:t>
      </w:r>
    </w:p>
    <w:p>
      <w:pPr>
        <w:spacing w:before="0" w:after="120" w:line="288" w:lineRule="auto"/>
        <w:jc w:val="both"/>
      </w:pPr>
      <w:r>
        <w:rPr>
          <w:rFonts w:ascii="Calibri" w:hAnsi="Calibri"/>
        </w:rPr>
        <w:t>Continuously inspects incoming network log events, extracts IP details, computes a heuristic risk score (0–100), and assigns a MITRE ATT&amp;CK tactic/technique tag. Produces a structured SOC Incident payload persisted to the database and streamed live to the frontend dashboard.</w:t>
      </w:r>
    </w:p>
    <w:p>
      <w:pPr>
        <w:spacing w:before="200" w:after="60"/>
      </w:pPr>
      <w:r>
        <w:rPr>
          <w:rFonts w:ascii="Calibri" w:hAnsi="Calibri"/>
          <w:b/>
          <w:color w:val="005F8E"/>
          <w:sz w:val="24"/>
        </w:rPr>
        <w:t>Agent 2 — Autonomous Quarantine &amp; Validation Agent</w:t>
      </w:r>
    </w:p>
    <w:p>
      <w:pPr>
        <w:spacing w:before="0" w:after="120" w:line="288" w:lineRule="auto"/>
        <w:jc w:val="both"/>
      </w:pPr>
      <w:r>
        <w:rPr>
          <w:rFonts w:ascii="Calibri" w:hAnsi="Calibri"/>
        </w:rPr>
        <w:t>Evaluates every incident against the severity threshold (≥75 = Critical/High). Qualifying incidents are automatically written to the Blocked IPs table, quarantining the offending IP. The agent validates revoke requests and generates AI-driven remediation advice to prevent false-positive lockouts.</w:t>
      </w:r>
    </w:p>
    <w:p>
      <w:pPr>
        <w:spacing w:before="320" w:after="100"/>
        <w:pBdr>
          <w:bottom w:val="single" w:sz="6" w:space="1" w:color="003366"/>
        </w:pBdr>
      </w:pPr>
      <w:r>
        <w:rPr>
          <w:rFonts w:ascii="Calibri" w:hAnsi="Calibri"/>
          <w:b/>
          <w:color w:val="002750"/>
          <w:sz w:val="30"/>
        </w:rPr>
        <w:t>7.  Algorithms Used</w:t>
      </w:r>
    </w:p>
    <w:p>
      <w:pPr>
        <w:pStyle w:val="ListBullet"/>
        <w:spacing w:before="0" w:after="60" w:line="276" w:lineRule="auto"/>
        <w:ind w:left="432"/>
        <w:jc w:val="both"/>
      </w:pPr>
      <w:r>
        <w:rPr>
          <w:rFonts w:ascii="Calibri" w:hAnsi="Calibri"/>
          <w:b/>
          <w:color w:val="002750"/>
        </w:rPr>
        <w:t xml:space="preserve">Heuristic Threat Scoring: </w:t>
      </w:r>
      <w:r>
        <w:rPr>
          <w:rFonts w:ascii="Calibri" w:hAnsi="Calibri"/>
        </w:rPr>
        <w:t>Evaluates request velocity, payload anomaly patterns, and IP reputation to produce a normalized 0–100 risk score without relying solely on static signatures.</w:t>
      </w:r>
    </w:p>
    <w:p>
      <w:pPr>
        <w:pStyle w:val="ListBullet"/>
        <w:spacing w:before="0" w:after="60" w:line="276" w:lineRule="auto"/>
        <w:ind w:left="432"/>
        <w:jc w:val="both"/>
      </w:pPr>
      <w:r>
        <w:rPr>
          <w:rFonts w:ascii="Calibri" w:hAnsi="Calibri"/>
          <w:b/>
          <w:color w:val="002750"/>
        </w:rPr>
        <w:t xml:space="preserve">Severity Matrix Classifier: </w:t>
      </w:r>
      <w:r>
        <w:rPr>
          <w:rFonts w:ascii="Calibri" w:hAnsi="Calibri"/>
        </w:rPr>
        <w:t>Maps scores to Critical (≥75), High (60–74), Medium (40–59), and Low (&lt;40) priority tiers — driving the automated quarantine and alerting logic.</w:t>
      </w:r>
    </w:p>
    <w:p>
      <w:pPr>
        <w:pStyle w:val="ListBullet"/>
        <w:spacing w:before="0" w:after="60" w:line="276" w:lineRule="auto"/>
        <w:ind w:left="432"/>
        <w:jc w:val="both"/>
      </w:pPr>
      <w:r>
        <w:rPr>
          <w:rFonts w:ascii="Calibri" w:hAnsi="Calibri"/>
          <w:b/>
          <w:color w:val="002750"/>
        </w:rPr>
        <w:t xml:space="preserve">Velocity Rate Anomaly Detector: </w:t>
      </w:r>
      <w:r>
        <w:rPr>
          <w:rFonts w:ascii="Calibri" w:hAnsi="Calibri"/>
        </w:rPr>
        <w:t>Monitors burst traffic spikes per IP over sliding time windows to detect active DDoS attacks and port-scan sweeps.</w:t>
      </w:r>
    </w:p>
    <w:p>
      <w:pPr>
        <w:spacing w:before="320" w:after="100"/>
        <w:pBdr>
          <w:bottom w:val="single" w:sz="6" w:space="1" w:color="003366"/>
        </w:pBdr>
      </w:pPr>
      <w:r>
        <w:rPr>
          <w:rFonts w:ascii="Calibri" w:hAnsi="Calibri"/>
          <w:b/>
          <w:color w:val="002750"/>
          <w:sz w:val="30"/>
        </w:rPr>
        <w:t>8.  Implementation Phases</w:t>
      </w:r>
    </w:p>
    <w:p>
      <w:pPr>
        <w:pStyle w:val="ListBullet"/>
        <w:spacing w:before="0" w:after="60" w:line="276" w:lineRule="auto"/>
        <w:ind w:left="432"/>
        <w:jc w:val="both"/>
      </w:pPr>
      <w:r>
        <w:rPr>
          <w:rFonts w:ascii="Calibri" w:hAnsi="Calibri"/>
          <w:b/>
          <w:color w:val="002750"/>
        </w:rPr>
        <w:t>Phase 1 — Requirement Analysis:</w:t>
      </w:r>
      <w:r>
        <w:rPr>
          <w:rFonts w:ascii="Calibri" w:hAnsi="Calibri"/>
        </w:rPr>
        <w:t xml:space="preserve"> Identified SOC pain points, defined scoring metrics, mapped MITRE ATT&amp;CK coverage.</w:t>
      </w:r>
    </w:p>
    <w:p>
      <w:pPr>
        <w:pStyle w:val="ListBullet"/>
        <w:spacing w:before="0" w:after="60" w:line="276" w:lineRule="auto"/>
        <w:ind w:left="432"/>
        <w:jc w:val="both"/>
      </w:pPr>
      <w:r>
        <w:rPr>
          <w:rFonts w:ascii="Calibri" w:hAnsi="Calibri"/>
          <w:b/>
          <w:color w:val="002750"/>
        </w:rPr>
        <w:t>Phase 2 — System Design:</w:t>
      </w:r>
      <w:r>
        <w:rPr>
          <w:rFonts w:ascii="Calibri" w:hAnsi="Calibri"/>
        </w:rPr>
        <w:t xml:space="preserve"> Architected decoupled React SPA + FastAPI serverless backend; finalized API contracts.</w:t>
      </w:r>
    </w:p>
    <w:p>
      <w:pPr>
        <w:pStyle w:val="ListBullet"/>
        <w:spacing w:before="0" w:after="60" w:line="276" w:lineRule="auto"/>
        <w:ind w:left="432"/>
        <w:jc w:val="both"/>
      </w:pPr>
      <w:r>
        <w:rPr>
          <w:rFonts w:ascii="Calibri" w:hAnsi="Calibri"/>
          <w:b/>
          <w:color w:val="002750"/>
        </w:rPr>
        <w:t>Phase 3 — Database Schema:</w:t>
      </w:r>
      <w:r>
        <w:rPr>
          <w:rFonts w:ascii="Calibri" w:hAnsi="Calibri"/>
        </w:rPr>
        <w:t xml:space="preserve"> Designed ORM models — Users, SOC Incidents, Perimeter Logs, Blocked IPs.</w:t>
      </w:r>
    </w:p>
    <w:p>
      <w:pPr>
        <w:pStyle w:val="ListBullet"/>
        <w:spacing w:before="0" w:after="60" w:line="276" w:lineRule="auto"/>
        <w:ind w:left="432"/>
        <w:jc w:val="both"/>
      </w:pPr>
      <w:r>
        <w:rPr>
          <w:rFonts w:ascii="Calibri" w:hAnsi="Calibri"/>
          <w:b/>
          <w:color w:val="002750"/>
        </w:rPr>
        <w:t>Phase 4 — Frontend Development:</w:t>
      </w:r>
      <w:r>
        <w:rPr>
          <w:rFonts w:ascii="Calibri" w:hAnsi="Calibri"/>
        </w:rPr>
        <w:t xml:space="preserve"> Built glassmorphic components — ThreatChart, RiskGauge, BlockedIPs, Login, Dashboard.</w:t>
      </w:r>
    </w:p>
    <w:p>
      <w:pPr>
        <w:pStyle w:val="ListBullet"/>
        <w:spacing w:before="0" w:after="60" w:line="276" w:lineRule="auto"/>
        <w:ind w:left="432"/>
        <w:jc w:val="both"/>
      </w:pPr>
      <w:r>
        <w:rPr>
          <w:rFonts w:ascii="Calibri" w:hAnsi="Calibri"/>
          <w:b/>
          <w:color w:val="002750"/>
        </w:rPr>
        <w:t>Phase 5 — Backend &amp; JWT Auth:</w:t>
      </w:r>
      <w:r>
        <w:rPr>
          <w:rFonts w:ascii="Calibri" w:hAnsi="Calibri"/>
        </w:rPr>
        <w:t xml:space="preserve"> Implemented REST routes (/api/snapshot, /api/block_ip, /api/sim_threat) with HS256 JWT.</w:t>
      </w:r>
    </w:p>
    <w:p>
      <w:pPr>
        <w:pStyle w:val="ListBullet"/>
        <w:spacing w:before="0" w:after="60" w:line="276" w:lineRule="auto"/>
        <w:ind w:left="432"/>
        <w:jc w:val="both"/>
      </w:pPr>
      <w:r>
        <w:rPr>
          <w:rFonts w:ascii="Calibri" w:hAnsi="Calibri"/>
          <w:b/>
          <w:color w:val="002750"/>
        </w:rPr>
        <w:t>Phase 6 — Agentic AI Dev:</w:t>
      </w:r>
      <w:r>
        <w:rPr>
          <w:rFonts w:ascii="Calibri" w:hAnsi="Calibri"/>
        </w:rPr>
        <w:t xml:space="preserve"> Programmed Telemetry Monitor Agent and Autonomous Quarantine Agent workflows.</w:t>
      </w:r>
    </w:p>
    <w:p>
      <w:pPr>
        <w:pStyle w:val="ListBullet"/>
        <w:spacing w:before="0" w:after="60" w:line="276" w:lineRule="auto"/>
        <w:ind w:left="432"/>
        <w:jc w:val="both"/>
      </w:pPr>
      <w:r>
        <w:rPr>
          <w:rFonts w:ascii="Calibri" w:hAnsi="Calibri"/>
          <w:b/>
          <w:color w:val="002750"/>
        </w:rPr>
        <w:t>Phase 7 — Integration Testing:</w:t>
      </w:r>
      <w:r>
        <w:rPr>
          <w:rFonts w:ascii="Calibri" w:hAnsi="Calibri"/>
        </w:rPr>
        <w:t xml:space="preserve"> Simulated threat injection to verify scoring accuracy, quarantine triggers, and revocation.</w:t>
      </w:r>
    </w:p>
    <w:p>
      <w:pPr>
        <w:pStyle w:val="ListBullet"/>
        <w:spacing w:before="0" w:after="60" w:line="276" w:lineRule="auto"/>
        <w:ind w:left="432"/>
        <w:jc w:val="both"/>
      </w:pPr>
      <w:r>
        <w:rPr>
          <w:rFonts w:ascii="Calibri" w:hAnsi="Calibri"/>
          <w:b/>
          <w:color w:val="002750"/>
        </w:rPr>
        <w:t>Phase 8 — Cloud Deployment:</w:t>
      </w:r>
      <w:r>
        <w:rPr>
          <w:rFonts w:ascii="Calibri" w:hAnsi="Calibri"/>
        </w:rPr>
        <w:t xml:space="preserve"> Deployed full-stack to Vercel Serverless; verified Swagger docs in production.</w:t>
      </w:r>
    </w:p>
    <w:p>
      <w:pPr>
        <w:spacing w:before="320" w:after="100"/>
        <w:pBdr>
          <w:bottom w:val="single" w:sz="6" w:space="1" w:color="003366"/>
        </w:pBdr>
      </w:pPr>
      <w:r>
        <w:rPr>
          <w:rFonts w:ascii="Calibri" w:hAnsi="Calibri"/>
          <w:b/>
          <w:color w:val="002750"/>
          <w:sz w:val="30"/>
        </w:rPr>
        <w:t>9.  Applications</w:t>
      </w:r>
    </w:p>
    <w:p>
      <w:pPr>
        <w:pStyle w:val="ListBullet"/>
        <w:spacing w:before="0" w:after="60" w:line="276" w:lineRule="auto"/>
        <w:ind w:left="432"/>
        <w:jc w:val="both"/>
      </w:pPr>
      <w:r>
        <w:rPr>
          <w:rFonts w:ascii="Calibri" w:hAnsi="Calibri"/>
          <w:b/>
          <w:color w:val="002750"/>
        </w:rPr>
        <w:t>Enterprise SOC Operations:</w:t>
      </w:r>
      <w:r>
        <w:rPr>
          <w:rFonts w:ascii="Calibri" w:hAnsi="Calibri"/>
        </w:rPr>
        <w:t xml:space="preserve"> Continuous perimeter monitoring and automated response for dedicated security teams.</w:t>
      </w:r>
    </w:p>
    <w:p>
      <w:pPr>
        <w:pStyle w:val="ListBullet"/>
        <w:spacing w:before="0" w:after="60" w:line="276" w:lineRule="auto"/>
        <w:ind w:left="432"/>
        <w:jc w:val="both"/>
      </w:pPr>
      <w:r>
        <w:rPr>
          <w:rFonts w:ascii="Calibri" w:hAnsi="Calibri"/>
          <w:b/>
          <w:color w:val="002750"/>
        </w:rPr>
        <w:t>Financial Institutions:</w:t>
      </w:r>
      <w:r>
        <w:rPr>
          <w:rFonts w:ascii="Calibri" w:hAnsi="Calibri"/>
        </w:rPr>
        <w:t xml:space="preserve"> Protects banking portals from credential stuffing, brute-force, and fraud attempts.</w:t>
      </w:r>
    </w:p>
    <w:p>
      <w:pPr>
        <w:pStyle w:val="ListBullet"/>
        <w:spacing w:before="0" w:after="60" w:line="276" w:lineRule="auto"/>
        <w:ind w:left="432"/>
        <w:jc w:val="both"/>
      </w:pPr>
      <w:r>
        <w:rPr>
          <w:rFonts w:ascii="Calibri" w:hAnsi="Calibri"/>
          <w:b/>
          <w:color w:val="002750"/>
        </w:rPr>
        <w:t>Cloud Service Providers:</w:t>
      </w:r>
      <w:r>
        <w:rPr>
          <w:rFonts w:ascii="Calibri" w:hAnsi="Calibri"/>
        </w:rPr>
        <w:t xml:space="preserve"> Safeguards serverless APIs and microservices from unauthorized probes and exploits.</w:t>
      </w:r>
    </w:p>
    <w:p>
      <w:pPr>
        <w:pStyle w:val="ListBullet"/>
        <w:spacing w:before="0" w:after="60" w:line="276" w:lineRule="auto"/>
        <w:ind w:left="432"/>
        <w:jc w:val="both"/>
      </w:pPr>
      <w:r>
        <w:rPr>
          <w:rFonts w:ascii="Calibri" w:hAnsi="Calibri"/>
          <w:b/>
          <w:color w:val="002750"/>
        </w:rPr>
        <w:t>Healthcare Networks:</w:t>
      </w:r>
      <w:r>
        <w:rPr>
          <w:rFonts w:ascii="Calibri" w:hAnsi="Calibri"/>
        </w:rPr>
        <w:t xml:space="preserve"> Secures patient data endpoints against ransomware and malware payload injection.</w:t>
      </w:r>
    </w:p>
    <w:p>
      <w:pPr>
        <w:pStyle w:val="ListBullet"/>
        <w:spacing w:before="0" w:after="60" w:line="276" w:lineRule="auto"/>
        <w:ind w:left="432"/>
        <w:jc w:val="both"/>
      </w:pPr>
      <w:r>
        <w:rPr>
          <w:rFonts w:ascii="Calibri" w:hAnsi="Calibri"/>
          <w:b/>
          <w:color w:val="002750"/>
        </w:rPr>
        <w:t>E-Commerce Platforms:</w:t>
      </w:r>
      <w:r>
        <w:rPr>
          <w:rFonts w:ascii="Calibri" w:hAnsi="Calibri"/>
        </w:rPr>
        <w:t xml:space="preserve"> Prevents DDoS and SQL injection attacks during high-traffic sales events.</w:t>
      </w:r>
    </w:p>
    <w:p>
      <w:pPr>
        <w:pStyle w:val="ListBullet"/>
        <w:spacing w:before="0" w:after="60" w:line="276" w:lineRule="auto"/>
        <w:ind w:left="432"/>
        <w:jc w:val="both"/>
      </w:pPr>
      <w:r>
        <w:rPr>
          <w:rFonts w:ascii="Calibri" w:hAnsi="Calibri"/>
          <w:b/>
          <w:color w:val="002750"/>
        </w:rPr>
        <w:t>Academic Institutions:</w:t>
      </w:r>
      <w:r>
        <w:rPr>
          <w:rFonts w:ascii="Calibri" w:hAnsi="Calibri"/>
        </w:rPr>
        <w:t xml:space="preserve"> Monitors campus networks and prevents faculty/student account hijacking.</w:t>
      </w:r>
    </w:p>
    <w:p>
      <w:r>
        <w:br w:type="page"/>
      </w:r>
    </w:p>
    <w:p>
      <w:pPr>
        <w:spacing w:before="320" w:after="100"/>
        <w:pBdr>
          <w:bottom w:val="single" w:sz="6" w:space="1" w:color="003366"/>
        </w:pBdr>
      </w:pPr>
      <w:r>
        <w:rPr>
          <w:rFonts w:ascii="Calibri" w:hAnsi="Calibri"/>
          <w:b/>
          <w:color w:val="002750"/>
          <w:sz w:val="30"/>
        </w:rPr>
        <w:t>10.  User Interface Screenshots</w:t>
      </w:r>
    </w:p>
    <w:p>
      <w:pPr>
        <w:spacing w:before="0" w:after="120" w:line="288" w:lineRule="auto"/>
      </w:pPr>
      <w:r>
        <w:rPr>
          <w:rFonts w:ascii="Calibri" w:hAnsi="Calibri"/>
        </w:rPr>
        <w:t>The following figures depict the live operational screens of the SentinelGPT system:</w:t>
      </w:r>
    </w:p>
    <w:tbl>
      <w:tblPr>
        <w:tblW w:type="auto" w:w="0"/>
        <w:jc w:val="center"/>
        <w:tblLook w:firstColumn="1" w:firstRow="1" w:lastColumn="0" w:lastRow="0" w:noHBand="0" w:noVBand="1" w:val="04A0"/>
      </w:tblPr>
      <w:tblGrid>
        <w:gridCol w:w="4464"/>
        <w:gridCol w:w="4464"/>
      </w:tblGrid>
      <w:tr>
        <w:tc>
          <w:tcPr>
            <w:tcW w:type="dxa" w:w="4464"/>
            <w:tcBorders>
              <w:top w:val="none"/>
              <w:bottom w:val="none"/>
              <w:left w:val="none"/>
              <w:right w:val="none"/>
            </w:tcBorders>
          </w:tcPr>
          <w:p>
            <w:pPr>
              <w:spacing w:before="120" w:after="40"/>
              <w:jc w:val="center"/>
            </w:pPr>
            <w:r>
              <w:drawing>
                <wp:inline xmlns:a="http://schemas.openxmlformats.org/drawingml/2006/main" xmlns:pic="http://schemas.openxmlformats.org/drawingml/2006/picture">
                  <wp:extent cx="2697480" cy="1281303"/>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2697480" cy="1281303"/>
                          </a:xfrm>
                          <a:prstGeom prst="rect"/>
                        </pic:spPr>
                      </pic:pic>
                    </a:graphicData>
                  </a:graphic>
                </wp:inline>
              </w:drawing>
            </w:r>
          </w:p>
        </w:tc>
        <w:tc>
          <w:tcPr>
            <w:tcW w:type="dxa" w:w="4464"/>
            <w:tcBorders>
              <w:top w:val="none"/>
              <w:bottom w:val="none"/>
              <w:left w:val="none"/>
              <w:right w:val="none"/>
            </w:tcBorders>
          </w:tcPr>
          <w:p>
            <w:pPr>
              <w:spacing w:before="120" w:after="40"/>
              <w:jc w:val="center"/>
            </w:pPr>
            <w:r>
              <w:drawing>
                <wp:inline xmlns:a="http://schemas.openxmlformats.org/drawingml/2006/main" xmlns:pic="http://schemas.openxmlformats.org/drawingml/2006/picture">
                  <wp:extent cx="2697480" cy="1281303"/>
                  <wp:docPr id="4" name="Picture 4"/>
                  <wp:cNvGraphicFramePr>
                    <a:graphicFrameLocks noChangeAspect="1"/>
                  </wp:cNvGraphicFramePr>
                  <a:graphic>
                    <a:graphicData uri="http://schemas.openxmlformats.org/drawingml/2006/picture">
                      <pic:pic>
                        <pic:nvPicPr>
                          <pic:cNvPr id="0" name="login_page.png"/>
                          <pic:cNvPicPr/>
                        </pic:nvPicPr>
                        <pic:blipFill>
                          <a:blip r:embed="rId12"/>
                          <a:stretch>
                            <a:fillRect/>
                          </a:stretch>
                        </pic:blipFill>
                        <pic:spPr>
                          <a:xfrm>
                            <a:off x="0" y="0"/>
                            <a:ext cx="2697480" cy="1281303"/>
                          </a:xfrm>
                          <a:prstGeom prst="rect"/>
                        </pic:spPr>
                      </pic:pic>
                    </a:graphicData>
                  </a:graphic>
                </wp:inline>
              </w:drawing>
            </w:r>
          </w:p>
        </w:tc>
      </w:tr>
      <w:tr>
        <w:tc>
          <w:tcPr>
            <w:tcW w:type="dxa" w:w="4464"/>
            <w:tcBorders>
              <w:top w:val="none"/>
              <w:bottom w:val="none"/>
              <w:left w:val="none"/>
              <w:right w:val="none"/>
            </w:tcBorders>
          </w:tcPr>
          <w:p>
            <w:pPr>
              <w:spacing w:after="160"/>
              <w:jc w:val="center"/>
            </w:pPr>
            <w:r>
              <w:rPr>
                <w:i/>
                <w:color w:val="555555"/>
                <w:sz w:val="19"/>
              </w:rPr>
              <w:t>Fig 3: SentinelGPT SOC Operations Dashboard</w:t>
            </w:r>
          </w:p>
        </w:tc>
        <w:tc>
          <w:tcPr>
            <w:tcW w:type="dxa" w:w="4464"/>
            <w:tcBorders>
              <w:top w:val="none"/>
              <w:bottom w:val="none"/>
              <w:left w:val="none"/>
              <w:right w:val="none"/>
            </w:tcBorders>
          </w:tcPr>
          <w:p>
            <w:pPr>
              <w:spacing w:after="160"/>
              <w:jc w:val="center"/>
            </w:pPr>
            <w:r>
              <w:rPr>
                <w:i/>
                <w:color w:val="555555"/>
                <w:sz w:val="19"/>
              </w:rPr>
              <w:t>Fig 4: Operator Authentication Portal</w:t>
            </w:r>
          </w:p>
        </w:tc>
      </w:tr>
    </w:tbl>
    <w:tbl>
      <w:tblPr>
        <w:tblW w:type="auto" w:w="0"/>
        <w:jc w:val="center"/>
        <w:tblLook w:firstColumn="1" w:firstRow="1" w:lastColumn="0" w:lastRow="0" w:noHBand="0" w:noVBand="1" w:val="04A0"/>
      </w:tblPr>
      <w:tblGrid>
        <w:gridCol w:w="4464"/>
        <w:gridCol w:w="4464"/>
      </w:tblGrid>
      <w:tr>
        <w:tc>
          <w:tcPr>
            <w:tcW w:type="dxa" w:w="4464"/>
            <w:tcBorders>
              <w:top w:val="none"/>
              <w:bottom w:val="none"/>
              <w:left w:val="none"/>
              <w:right w:val="none"/>
            </w:tcBorders>
          </w:tcPr>
          <w:p>
            <w:pPr>
              <w:spacing w:before="120" w:after="40"/>
              <w:jc w:val="center"/>
            </w:pPr>
            <w:r>
              <w:drawing>
                <wp:inline xmlns:a="http://schemas.openxmlformats.org/drawingml/2006/main" xmlns:pic="http://schemas.openxmlformats.org/drawingml/2006/picture">
                  <wp:extent cx="2697480" cy="1281303"/>
                  <wp:docPr id="5" name="Picture 5"/>
                  <wp:cNvGraphicFramePr>
                    <a:graphicFrameLocks noChangeAspect="1"/>
                  </wp:cNvGraphicFramePr>
                  <a:graphic>
                    <a:graphicData uri="http://schemas.openxmlformats.org/drawingml/2006/picture">
                      <pic:pic>
                        <pic:nvPicPr>
                          <pic:cNvPr id="0" name="ai_chat.png"/>
                          <pic:cNvPicPr/>
                        </pic:nvPicPr>
                        <pic:blipFill>
                          <a:blip r:embed="rId13"/>
                          <a:stretch>
                            <a:fillRect/>
                          </a:stretch>
                        </pic:blipFill>
                        <pic:spPr>
                          <a:xfrm>
                            <a:off x="0" y="0"/>
                            <a:ext cx="2697480" cy="1281303"/>
                          </a:xfrm>
                          <a:prstGeom prst="rect"/>
                        </pic:spPr>
                      </pic:pic>
                    </a:graphicData>
                  </a:graphic>
                </wp:inline>
              </w:drawing>
            </w:r>
          </w:p>
        </w:tc>
        <w:tc>
          <w:tcPr>
            <w:tcW w:type="dxa" w:w="4464"/>
            <w:tcBorders>
              <w:top w:val="none"/>
              <w:bottom w:val="none"/>
              <w:left w:val="none"/>
              <w:right w:val="none"/>
            </w:tcBorders>
          </w:tcPr>
          <w:p>
            <w:pPr>
              <w:spacing w:before="120" w:after="40"/>
              <w:jc w:val="center"/>
            </w:pPr>
            <w:r>
              <w:drawing>
                <wp:inline xmlns:a="http://schemas.openxmlformats.org/drawingml/2006/main" xmlns:pic="http://schemas.openxmlformats.org/drawingml/2006/picture">
                  <wp:extent cx="2697480" cy="1281303"/>
                  <wp:docPr id="6" name="Picture 6"/>
                  <wp:cNvGraphicFramePr>
                    <a:graphicFrameLocks noChangeAspect="1"/>
                  </wp:cNvGraphicFramePr>
                  <a:graphic>
                    <a:graphicData uri="http://schemas.openxmlformats.org/drawingml/2006/picture">
                      <pic:pic>
                        <pic:nvPicPr>
                          <pic:cNvPr id="0" name="file_scanner.png"/>
                          <pic:cNvPicPr/>
                        </pic:nvPicPr>
                        <pic:blipFill>
                          <a:blip r:embed="rId14"/>
                          <a:stretch>
                            <a:fillRect/>
                          </a:stretch>
                        </pic:blipFill>
                        <pic:spPr>
                          <a:xfrm>
                            <a:off x="0" y="0"/>
                            <a:ext cx="2697480" cy="1281303"/>
                          </a:xfrm>
                          <a:prstGeom prst="rect"/>
                        </pic:spPr>
                      </pic:pic>
                    </a:graphicData>
                  </a:graphic>
                </wp:inline>
              </w:drawing>
            </w:r>
          </w:p>
        </w:tc>
      </w:tr>
      <w:tr>
        <w:tc>
          <w:tcPr>
            <w:tcW w:type="dxa" w:w="4464"/>
            <w:tcBorders>
              <w:top w:val="none"/>
              <w:bottom w:val="none"/>
              <w:left w:val="none"/>
              <w:right w:val="none"/>
            </w:tcBorders>
          </w:tcPr>
          <w:p>
            <w:pPr>
              <w:spacing w:after="160"/>
              <w:jc w:val="center"/>
            </w:pPr>
            <w:r>
              <w:rPr>
                <w:i/>
                <w:color w:val="555555"/>
                <w:sz w:val="19"/>
              </w:rPr>
              <w:t>Fig 5: AI Threat Triage Assistant</w:t>
            </w:r>
          </w:p>
        </w:tc>
        <w:tc>
          <w:tcPr>
            <w:tcW w:type="dxa" w:w="4464"/>
            <w:tcBorders>
              <w:top w:val="none"/>
              <w:bottom w:val="none"/>
              <w:left w:val="none"/>
              <w:right w:val="none"/>
            </w:tcBorders>
          </w:tcPr>
          <w:p>
            <w:pPr>
              <w:spacing w:after="160"/>
              <w:jc w:val="center"/>
            </w:pPr>
            <w:r>
              <w:rPr>
                <w:i/>
                <w:color w:val="555555"/>
                <w:sz w:val="19"/>
              </w:rPr>
              <w:t>Fig 6: Heuristic Payload File Scanner</w:t>
            </w:r>
          </w:p>
        </w:tc>
      </w:tr>
    </w:tbl>
    <w:p>
      <w:pPr>
        <w:spacing w:before="320" w:after="100"/>
        <w:pBdr>
          <w:bottom w:val="single" w:sz="6" w:space="1" w:color="003366"/>
        </w:pBdr>
      </w:pPr>
      <w:r>
        <w:rPr>
          <w:rFonts w:ascii="Calibri" w:hAnsi="Calibri"/>
          <w:b/>
          <w:color w:val="002750"/>
          <w:sz w:val="30"/>
        </w:rPr>
        <w:t>11.  REST API Endpoints</w:t>
      </w:r>
    </w:p>
    <w:p>
      <w:pPr>
        <w:spacing w:before="0" w:after="120" w:line="288" w:lineRule="auto"/>
        <w:jc w:val="both"/>
      </w:pPr>
      <w:r>
        <w:rPr>
          <w:rFonts w:ascii="Calibri" w:hAnsi="Calibri"/>
        </w:rPr>
        <w:t>The backend exposes the following endpoints for telemetry, quarantine control, and authentication:</w:t>
      </w:r>
    </w:p>
    <w:tbl>
      <w:tblPr>
        <w:tblStyle w:val="TableGrid"/>
        <w:tblW w:type="auto" w:w="0"/>
        <w:jc w:val="center"/>
        <w:tblLook w:firstColumn="1" w:firstRow="1" w:lastColumn="0" w:lastRow="0" w:noHBand="0" w:noVBand="1" w:val="04A0"/>
      </w:tblPr>
      <w:tblGrid>
        <w:gridCol w:w="2976"/>
        <w:gridCol w:w="2976"/>
        <w:gridCol w:w="2976"/>
      </w:tblGrid>
      <w:tr>
        <w:tc>
          <w:tcPr>
            <w:tcW w:type="dxa" w:w="2976"/>
            <w:shd w:val="clear" w:color="auto" w:fill="003366"/>
          </w:tcPr>
          <w:p>
            <w:r>
              <w:rPr>
                <w:rFonts w:ascii="Calibri" w:hAnsi="Calibri"/>
                <w:b/>
                <w:color w:val="FFFFFF"/>
              </w:rPr>
              <w:t>Endpoint</w:t>
            </w:r>
          </w:p>
        </w:tc>
        <w:tc>
          <w:tcPr>
            <w:tcW w:type="dxa" w:w="2976"/>
            <w:shd w:val="clear" w:color="auto" w:fill="003366"/>
          </w:tcPr>
          <w:p>
            <w:r>
              <w:rPr>
                <w:rFonts w:ascii="Calibri" w:hAnsi="Calibri"/>
                <w:b/>
                <w:color w:val="FFFFFF"/>
              </w:rPr>
              <w:t>Method</w:t>
            </w:r>
          </w:p>
        </w:tc>
        <w:tc>
          <w:tcPr>
            <w:tcW w:type="dxa" w:w="2976"/>
            <w:shd w:val="clear" w:color="auto" w:fill="003366"/>
          </w:tcPr>
          <w:p>
            <w:r>
              <w:rPr>
                <w:rFonts w:ascii="Calibri" w:hAnsi="Calibri"/>
                <w:b/>
                <w:color w:val="FFFFFF"/>
              </w:rPr>
              <w:t>Description</w:t>
            </w:r>
          </w:p>
        </w:tc>
      </w:tr>
      <w:tr>
        <w:tc>
          <w:tcPr>
            <w:tcW w:type="dxa" w:w="2976"/>
            <w:shd w:val="clear" w:color="auto" w:fill="EEF4FB"/>
          </w:tcPr>
          <w:p>
            <w:r>
              <w:rPr>
                <w:rFonts w:ascii="Calibri" w:hAnsi="Calibri"/>
              </w:rPr>
              <w:t>/api/login</w:t>
            </w:r>
          </w:p>
        </w:tc>
        <w:tc>
          <w:tcPr>
            <w:tcW w:type="dxa" w:w="2976"/>
            <w:shd w:val="clear" w:color="auto" w:fill="EEF4FB"/>
          </w:tcPr>
          <w:p>
            <w:r>
              <w:rPr>
                <w:rFonts w:ascii="Calibri" w:hAnsi="Calibri"/>
              </w:rPr>
              <w:t>POST</w:t>
            </w:r>
          </w:p>
        </w:tc>
        <w:tc>
          <w:tcPr>
            <w:tcW w:type="dxa" w:w="2976"/>
            <w:shd w:val="clear" w:color="auto" w:fill="EEF4FB"/>
          </w:tcPr>
          <w:p>
            <w:r>
              <w:rPr>
                <w:rFonts w:ascii="Calibri" w:hAnsi="Calibri"/>
              </w:rPr>
              <w:t>Authenticates operator; returns 8-hour JWT token</w:t>
            </w:r>
          </w:p>
        </w:tc>
      </w:tr>
      <w:tr>
        <w:tc>
          <w:tcPr>
            <w:tcW w:type="dxa" w:w="2976"/>
          </w:tcPr>
          <w:p>
            <w:r>
              <w:rPr>
                <w:rFonts w:ascii="Calibri" w:hAnsi="Calibri"/>
              </w:rPr>
              <w:t>/api/register</w:t>
            </w:r>
          </w:p>
        </w:tc>
        <w:tc>
          <w:tcPr>
            <w:tcW w:type="dxa" w:w="2976"/>
          </w:tcPr>
          <w:p>
            <w:r>
              <w:rPr>
                <w:rFonts w:ascii="Calibri" w:hAnsi="Calibri"/>
              </w:rPr>
              <w:t>POST</w:t>
            </w:r>
          </w:p>
        </w:tc>
        <w:tc>
          <w:tcPr>
            <w:tcW w:type="dxa" w:w="2976"/>
          </w:tcPr>
          <w:p>
            <w:r>
              <w:rPr>
                <w:rFonts w:ascii="Calibri" w:hAnsi="Calibri"/>
              </w:rPr>
              <w:t>Creates new operator account with hashed password</w:t>
            </w:r>
          </w:p>
        </w:tc>
      </w:tr>
      <w:tr>
        <w:tc>
          <w:tcPr>
            <w:tcW w:type="dxa" w:w="2976"/>
            <w:shd w:val="clear" w:color="auto" w:fill="EEF4FB"/>
          </w:tcPr>
          <w:p>
            <w:r>
              <w:rPr>
                <w:rFonts w:ascii="Calibri" w:hAnsi="Calibri"/>
              </w:rPr>
              <w:t>/api/snapshot</w:t>
            </w:r>
          </w:p>
        </w:tc>
        <w:tc>
          <w:tcPr>
            <w:tcW w:type="dxa" w:w="2976"/>
            <w:shd w:val="clear" w:color="auto" w:fill="EEF4FB"/>
          </w:tcPr>
          <w:p>
            <w:r>
              <w:rPr>
                <w:rFonts w:ascii="Calibri" w:hAnsi="Calibri"/>
              </w:rPr>
              <w:t>GET</w:t>
            </w:r>
          </w:p>
        </w:tc>
        <w:tc>
          <w:tcPr>
            <w:tcW w:type="dxa" w:w="2976"/>
            <w:shd w:val="clear" w:color="auto" w:fill="EEF4FB"/>
          </w:tcPr>
          <w:p>
            <w:r>
              <w:rPr>
                <w:rFonts w:ascii="Calibri" w:hAnsi="Calibri"/>
              </w:rPr>
              <w:t>Returns telemetry snapshot, incident logs &amp; quarantine list</w:t>
            </w:r>
          </w:p>
        </w:tc>
      </w:tr>
      <w:tr>
        <w:tc>
          <w:tcPr>
            <w:tcW w:type="dxa" w:w="2976"/>
          </w:tcPr>
          <w:p>
            <w:r>
              <w:rPr>
                <w:rFonts w:ascii="Calibri" w:hAnsi="Calibri"/>
              </w:rPr>
              <w:t>/api/block_ip</w:t>
            </w:r>
          </w:p>
        </w:tc>
        <w:tc>
          <w:tcPr>
            <w:tcW w:type="dxa" w:w="2976"/>
          </w:tcPr>
          <w:p>
            <w:r>
              <w:rPr>
                <w:rFonts w:ascii="Calibri" w:hAnsi="Calibri"/>
              </w:rPr>
              <w:t>POST</w:t>
            </w:r>
          </w:p>
        </w:tc>
        <w:tc>
          <w:tcPr>
            <w:tcW w:type="dxa" w:w="2976"/>
          </w:tcPr>
          <w:p>
            <w:r>
              <w:rPr>
                <w:rFonts w:ascii="Calibri" w:hAnsi="Calibri"/>
              </w:rPr>
              <w:t>Adds target IP address to active firewall quarantine</w:t>
            </w:r>
          </w:p>
        </w:tc>
      </w:tr>
      <w:tr>
        <w:tc>
          <w:tcPr>
            <w:tcW w:type="dxa" w:w="2976"/>
            <w:shd w:val="clear" w:color="auto" w:fill="EEF4FB"/>
          </w:tcPr>
          <w:p>
            <w:r>
              <w:rPr>
                <w:rFonts w:ascii="Calibri" w:hAnsi="Calibri"/>
              </w:rPr>
              <w:t>/api/unblock_ip</w:t>
            </w:r>
          </w:p>
        </w:tc>
        <w:tc>
          <w:tcPr>
            <w:tcW w:type="dxa" w:w="2976"/>
            <w:shd w:val="clear" w:color="auto" w:fill="EEF4FB"/>
          </w:tcPr>
          <w:p>
            <w:r>
              <w:rPr>
                <w:rFonts w:ascii="Calibri" w:hAnsi="Calibri"/>
              </w:rPr>
              <w:t>POST</w:t>
            </w:r>
          </w:p>
        </w:tc>
        <w:tc>
          <w:tcPr>
            <w:tcW w:type="dxa" w:w="2976"/>
            <w:shd w:val="clear" w:color="auto" w:fill="EEF4FB"/>
          </w:tcPr>
          <w:p>
            <w:r>
              <w:rPr>
                <w:rFonts w:ascii="Calibri" w:hAnsi="Calibri"/>
              </w:rPr>
              <w:t>Revokes quarantine for target IP address</w:t>
            </w:r>
          </w:p>
        </w:tc>
      </w:tr>
      <w:tr>
        <w:tc>
          <w:tcPr>
            <w:tcW w:type="dxa" w:w="2976"/>
          </w:tcPr>
          <w:p>
            <w:r>
              <w:rPr>
                <w:rFonts w:ascii="Calibri" w:hAnsi="Calibri"/>
              </w:rPr>
              <w:t>/api/export</w:t>
            </w:r>
          </w:p>
        </w:tc>
        <w:tc>
          <w:tcPr>
            <w:tcW w:type="dxa" w:w="2976"/>
          </w:tcPr>
          <w:p>
            <w:r>
              <w:rPr>
                <w:rFonts w:ascii="Calibri" w:hAnsi="Calibri"/>
              </w:rPr>
              <w:t>GET</w:t>
            </w:r>
          </w:p>
        </w:tc>
        <w:tc>
          <w:tcPr>
            <w:tcW w:type="dxa" w:w="2976"/>
          </w:tcPr>
          <w:p>
            <w:r>
              <w:rPr>
                <w:rFonts w:ascii="Calibri" w:hAnsi="Calibri"/>
              </w:rPr>
              <w:t>Downloads full incident history as JSON</w:t>
            </w:r>
          </w:p>
        </w:tc>
      </w:tr>
    </w:tbl>
    <w:p>
      <w:pPr>
        <w:spacing w:before="320" w:after="100"/>
        <w:pBdr>
          <w:bottom w:val="single" w:sz="6" w:space="1" w:color="003366"/>
        </w:pBdr>
      </w:pPr>
      <w:r>
        <w:rPr>
          <w:rFonts w:ascii="Calibri" w:hAnsi="Calibri"/>
          <w:b/>
          <w:color w:val="002750"/>
          <w:sz w:val="30"/>
        </w:rPr>
        <w:t>12.  Conclusion</w:t>
      </w:r>
    </w:p>
    <w:p>
      <w:pPr>
        <w:spacing w:before="0" w:after="120" w:line="288" w:lineRule="auto"/>
        <w:jc w:val="both"/>
      </w:pPr>
      <w:r>
        <w:rPr>
          <w:rFonts w:ascii="Calibri" w:hAnsi="Calibri"/>
        </w:rPr>
        <w:t>SentinelGPT demonstrates that integrating Agentic AI with a modern full-stack serverless architecture can transform traditional reactive security operations into a proactive, automated cyber defense system. By replacing manual log review with autonomous software agents, the platform eliminates alert fatigue, reduces incident response latency to near zero, and provides continuous 24/7 network perimeter protection — establishing a strong foundation for next-generation AI-powered cybersecurity frameworks.</w:t>
      </w:r>
    </w:p>
    <w:p>
      <w:pPr>
        <w:spacing w:before="320" w:after="100"/>
        <w:pBdr>
          <w:bottom w:val="single" w:sz="6" w:space="1" w:color="003366"/>
        </w:pBdr>
      </w:pPr>
      <w:r>
        <w:rPr>
          <w:rFonts w:ascii="Calibri" w:hAnsi="Calibri"/>
          <w:b/>
          <w:color w:val="002750"/>
          <w:sz w:val="30"/>
        </w:rPr>
        <w:t>13.  References</w:t>
      </w:r>
    </w:p>
    <w:p>
      <w:pPr>
        <w:pStyle w:val="ListBullet"/>
        <w:spacing w:before="0" w:after="60" w:line="276" w:lineRule="auto"/>
        <w:ind w:left="432"/>
        <w:jc w:val="both"/>
      </w:pPr>
      <w:r>
        <w:rPr>
          <w:rFonts w:ascii="Calibri" w:hAnsi="Calibri"/>
          <w:b/>
          <w:color w:val="002750"/>
        </w:rPr>
        <w:t xml:space="preserve">[1]  </w:t>
      </w:r>
      <w:r>
        <w:rPr>
          <w:rFonts w:ascii="Calibri" w:hAnsi="Calibri"/>
        </w:rPr>
        <w:t>FastAPI Documentation — https://fastapi.tiangolo.com/</w:t>
      </w:r>
    </w:p>
    <w:p>
      <w:pPr>
        <w:pStyle w:val="ListBullet"/>
        <w:spacing w:before="0" w:after="60" w:line="276" w:lineRule="auto"/>
        <w:ind w:left="432"/>
        <w:jc w:val="both"/>
      </w:pPr>
      <w:r>
        <w:rPr>
          <w:rFonts w:ascii="Calibri" w:hAnsi="Calibri"/>
          <w:b/>
          <w:color w:val="002750"/>
        </w:rPr>
        <w:t xml:space="preserve">[2]  </w:t>
      </w:r>
      <w:r>
        <w:rPr>
          <w:rFonts w:ascii="Calibri" w:hAnsi="Calibri"/>
        </w:rPr>
        <w:t>React 19 Docs — https://react.dev/</w:t>
      </w:r>
    </w:p>
    <w:p>
      <w:pPr>
        <w:pStyle w:val="ListBullet"/>
        <w:spacing w:before="0" w:after="60" w:line="276" w:lineRule="auto"/>
        <w:ind w:left="432"/>
        <w:jc w:val="both"/>
      </w:pPr>
      <w:r>
        <w:rPr>
          <w:rFonts w:ascii="Calibri" w:hAnsi="Calibri"/>
          <w:b/>
          <w:color w:val="002750"/>
        </w:rPr>
        <w:t xml:space="preserve">[3]  </w:t>
      </w:r>
      <w:r>
        <w:rPr>
          <w:rFonts w:ascii="Calibri" w:hAnsi="Calibri"/>
        </w:rPr>
        <w:t>MITRE ATT&amp;CK Framework — https://attack.mitre.org/</w:t>
      </w:r>
    </w:p>
    <w:p>
      <w:pPr>
        <w:pStyle w:val="ListBullet"/>
        <w:spacing w:before="0" w:after="60" w:line="276" w:lineRule="auto"/>
        <w:ind w:left="432"/>
        <w:jc w:val="both"/>
      </w:pPr>
      <w:r>
        <w:rPr>
          <w:rFonts w:ascii="Calibri" w:hAnsi="Calibri"/>
          <w:b/>
          <w:color w:val="002750"/>
        </w:rPr>
        <w:t xml:space="preserve">[4]  </w:t>
      </w:r>
      <w:r>
        <w:rPr>
          <w:rFonts w:ascii="Calibri" w:hAnsi="Calibri"/>
        </w:rPr>
        <w:t>SQLAlchemy ORM — https://docs.sqlalchemy.org/</w:t>
      </w:r>
    </w:p>
    <w:p>
      <w:pPr>
        <w:pStyle w:val="ListBullet"/>
        <w:spacing w:before="0" w:after="60" w:line="276" w:lineRule="auto"/>
        <w:ind w:left="432"/>
        <w:jc w:val="both"/>
      </w:pPr>
      <w:r>
        <w:rPr>
          <w:rFonts w:ascii="Calibri" w:hAnsi="Calibri"/>
          <w:b/>
          <w:color w:val="002750"/>
        </w:rPr>
        <w:t xml:space="preserve">[5]  </w:t>
      </w:r>
      <w:r>
        <w:rPr>
          <w:rFonts w:ascii="Calibri" w:hAnsi="Calibri"/>
        </w:rPr>
        <w:t>Vercel Platform Docs — https://vercel.com/docs</w:t>
      </w:r>
    </w:p>
    <w:p>
      <w:pPr>
        <w:pStyle w:val="ListBullet"/>
        <w:spacing w:before="0" w:after="60" w:line="276" w:lineRule="auto"/>
        <w:ind w:left="432"/>
        <w:jc w:val="both"/>
      </w:pPr>
      <w:r>
        <w:rPr>
          <w:rFonts w:ascii="Calibri" w:hAnsi="Calibri"/>
          <w:b/>
          <w:color w:val="002750"/>
        </w:rPr>
        <w:t xml:space="preserve">[6]  </w:t>
      </w:r>
      <w:r>
        <w:rPr>
          <w:rFonts w:ascii="Calibri" w:hAnsi="Calibri"/>
        </w:rPr>
        <w:t>Russell, S. &amp; Norvig, P. (2021). Artificial Intelligence: A Modern Approach (4th ed.). Pearson.</w:t>
      </w:r>
    </w:p>
    <w:p>
      <w:pPr>
        <w:spacing w:before="320" w:after="100"/>
        <w:pBdr>
          <w:bottom w:val="single" w:sz="6" w:space="1" w:color="003366"/>
        </w:pBdr>
      </w:pPr>
      <w:r>
        <w:rPr>
          <w:rFonts w:ascii="Calibri" w:hAnsi="Calibri"/>
          <w:b/>
          <w:color w:val="002750"/>
          <w:sz w:val="30"/>
        </w:rPr>
        <w:t>14.  Live Deployment &amp; GitHub Links</w:t>
      </w:r>
    </w:p>
    <w:p>
      <w:pPr>
        <w:pStyle w:val="ListBullet"/>
        <w:spacing w:before="0" w:after="60" w:line="276" w:lineRule="auto"/>
        <w:ind w:left="432"/>
        <w:jc w:val="both"/>
      </w:pPr>
      <w:r>
        <w:rPr>
          <w:rFonts w:ascii="Calibri" w:hAnsi="Calibri"/>
          <w:b/>
          <w:color w:val="002750"/>
        </w:rPr>
        <w:t xml:space="preserve">Single Live Dashboard Link:  </w:t>
      </w:r>
      <w:r>
        <w:rPr>
          <w:rFonts w:ascii="Calibri" w:hAnsi="Calibri"/>
        </w:rPr>
        <w:t>https://sentinelgpt-ai.vercel.app</w:t>
      </w:r>
    </w:p>
    <w:p>
      <w:pPr>
        <w:pStyle w:val="ListBullet"/>
        <w:spacing w:before="0" w:after="60" w:line="276" w:lineRule="auto"/>
        <w:ind w:left="432"/>
        <w:jc w:val="both"/>
      </w:pPr>
      <w:r>
        <w:rPr>
          <w:rFonts w:ascii="Calibri" w:hAnsi="Calibri"/>
          <w:b/>
          <w:color w:val="002750"/>
        </w:rPr>
        <w:t xml:space="preserve">Interactive Swagger API Docs: </w:t>
      </w:r>
      <w:r>
        <w:rPr>
          <w:rFonts w:ascii="Calibri" w:hAnsi="Calibri"/>
        </w:rPr>
        <w:t>https://sentinelgpt-ai.vercel.app/docs</w:t>
      </w:r>
    </w:p>
    <w:p>
      <w:pPr>
        <w:pStyle w:val="ListBullet"/>
        <w:spacing w:before="0" w:after="60" w:line="276" w:lineRule="auto"/>
        <w:ind w:left="432"/>
        <w:jc w:val="both"/>
      </w:pPr>
      <w:r>
        <w:rPr>
          <w:rFonts w:ascii="Calibri" w:hAnsi="Calibri"/>
          <w:b/>
          <w:color w:val="002750"/>
        </w:rPr>
        <w:t xml:space="preserve">Official GitHub Repository:   </w:t>
      </w:r>
      <w:r>
        <w:rPr>
          <w:rFonts w:ascii="Calibri" w:hAnsi="Calibri"/>
        </w:rPr>
        <w:t>https://github.com/Pravallika2025/sentigraud-ai-.git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