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480"/>
          </w:tcPr>
          <w:p>
            <w:pPr>
              <w:spacing w:after="40" w:line="276" w:lineRule="auto"/>
            </w:pPr>
            <w:r>
              <w:rPr>
                <w:b/>
                <w:color w:val="0B2545"/>
                <w:sz w:val="26"/>
              </w:rPr>
              <w:t>JNTU-GV College of Engineering, Vizianagaram</w:t>
              <w:br/>
            </w:r>
            <w:r>
              <w:rPr>
                <w:color w:val="475569"/>
                <w:sz w:val="19"/>
              </w:rPr>
              <w:t>Department of Information Technology • Master of Computer Applications (M.C.A)</w:t>
              <w:br/>
            </w:r>
            <w:r>
              <w:rPr>
                <w:b/>
                <w:color w:val="1D4ED8"/>
                <w:sz w:val="19"/>
              </w:rPr>
              <w:t>Major Project Capstone Technical Case Study</w:t>
            </w:r>
          </w:p>
        </w:tc>
        <w:tc>
          <w:tcPr>
            <w:tcW w:type="dxa" w:w="374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line="276" w:lineRule="auto"/>
              <w:jc w:val="right"/>
            </w:pPr>
            <w:r>
              <w:rPr>
                <w:b/>
                <w:color w:val="0B2545"/>
                <w:sz w:val="18"/>
              </w:rPr>
              <w:t>CANDIDATE: PRAVALLIKA KALANGI</w:t>
              <w:br/>
            </w:r>
            <w:r>
              <w:rPr>
                <w:b/>
                <w:color w:val="134074"/>
                <w:sz w:val="18"/>
              </w:rPr>
              <w:t>HALL TICKET: 24VV1F0044</w:t>
              <w:br/>
            </w:r>
            <w:r>
              <w:rPr>
                <w:b/>
                <w:color w:val="475569"/>
                <w:sz w:val="17"/>
              </w:rPr>
              <w:t>GUIDE: Dr. G. JAYA SUMA, Ph.D, Professor</w:t>
            </w:r>
          </w:p>
        </w:tc>
      </w:tr>
    </w:tbl>
    <w:p>
      <w:pPr>
        <w:spacing w:before="120" w:after="240"/>
        <w:pBdr>
          <w:bottom w:val="single" w:sz="12" w:space="1" w:color="0B254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2545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</w:pPr>
            <w:r>
              <w:rPr>
                <w:b/>
                <w:color w:val="93C5FD"/>
                <w:sz w:val="17"/>
              </w:rPr>
              <w:t>INCIDENT ANALYSIS &amp; DEFENSE BENCHMARK</w:t>
              <w:br/>
            </w:r>
            <w:r>
              <w:rPr>
                <w:b/>
                <w:color w:val="FFFFFF"/>
                <w:sz w:val="28"/>
              </w:rPr>
              <w:t>Real-World Case Study: ApexFin Corp Multi-Stage Breach &amp; Autonomous Incident Containment</w:t>
              <w:br/>
            </w:r>
            <w:r>
              <w:rPr>
                <w:color w:val="DBEAFE"/>
                <w:sz w:val="19"/>
              </w:rPr>
              <w:t>An End-to-End Evaluation of Unified Multi-Environment Telemetry, Graph Correlation, and Approval-Gated SOAR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single" w:sz="6" w:space="0" w:color="CBD5E1"/>
          <w:left w:val="none"/>
          <w:right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49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64748B"/>
                <w:sz w:val="15"/>
              </w:rPr>
              <w:t>TARGET ENTITY</w:t>
              <w:br/>
            </w:r>
            <w:r>
              <w:rPr>
                <w:b/>
                <w:color w:val="0F172A"/>
                <w:sz w:val="17"/>
              </w:rPr>
              <w:t>ApexFin Corp (Banking Core)</w:t>
            </w:r>
          </w:p>
        </w:tc>
        <w:tc>
          <w:tcPr>
            <w:tcW w:type="dxa" w:w="2549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64748B"/>
                <w:sz w:val="15"/>
              </w:rPr>
              <w:t>THREAT CLASSIFICATION</w:t>
              <w:br/>
            </w:r>
            <w:r>
              <w:rPr>
                <w:b/>
                <w:color w:val="0F172A"/>
                <w:sz w:val="17"/>
              </w:rPr>
              <w:t>Multi-Stage Advanced APT</w:t>
            </w:r>
          </w:p>
        </w:tc>
        <w:tc>
          <w:tcPr>
            <w:tcW w:type="dxa" w:w="2549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64748B"/>
                <w:sz w:val="15"/>
              </w:rPr>
              <w:t>ENVIRONMENTS TARGETED</w:t>
              <w:br/>
            </w:r>
            <w:r>
              <w:rPr>
                <w:b/>
                <w:color w:val="0F172A"/>
                <w:sz w:val="17"/>
              </w:rPr>
              <w:t>DMZ Gateway • AWS VPC • On-Prem AD</w:t>
            </w:r>
          </w:p>
        </w:tc>
        <w:tc>
          <w:tcPr>
            <w:tcW w:type="dxa" w:w="2549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64748B"/>
                <w:sz w:val="15"/>
              </w:rPr>
              <w:t>DEFENSE VERDICT</w:t>
              <w:br/>
            </w:r>
            <w:r>
              <w:rPr>
                <w:b/>
                <w:color w:val="059669"/>
                <w:sz w:val="17"/>
              </w:rPr>
              <w:t>Contained (Stage 3) • 0 Exfiltration</w:t>
            </w:r>
          </w:p>
        </w:tc>
      </w:tr>
    </w:tbl>
    <w:p/>
    <w:p>
      <w:pPr>
        <w:spacing w:before="200" w:after="80"/>
      </w:pPr>
      <w:r>
        <w:rPr>
          <w:b/>
          <w:color w:val="0B2545"/>
          <w:sz w:val="24"/>
        </w:rPr>
        <w:t>1. Incident Context &amp; Enterprise Architecture</w:t>
      </w:r>
    </w:p>
    <w:p>
      <w:pPr>
        <w:spacing w:after="80" w:line="288" w:lineRule="auto"/>
      </w:pPr>
      <w:r>
        <w:rPr>
          <w:b/>
        </w:rPr>
        <w:t xml:space="preserve">ApexFin Corp </w:t>
      </w:r>
      <w:r>
        <w:t xml:space="preserve">operates a hybrid fintech settlement platform comprising an external DMZ API gateway (Nginx/WAF), a cloud database tier hosted on AWS VPC, and on-premises core banking servers managed by Active Directory. During peak operations, the organization was targeted by a sophisticated multi-stage intrusion aimed at extracting over </w:t>
      </w:r>
      <w:r>
        <w:rPr>
          <w:b/>
        </w:rPr>
        <w:t>250,000 confidential financial settlement records.</w:t>
      </w:r>
    </w:p>
    <w:p>
      <w:pPr>
        <w:spacing w:after="160" w:line="288" w:lineRule="auto"/>
      </w:pPr>
      <w:r>
        <w:t xml:space="preserve">Under ApexFin's traditional SIEM infrastructure, fragmented tools generated over </w:t>
      </w:r>
      <w:r>
        <w:rPr>
          <w:b/>
        </w:rPr>
        <w:t xml:space="preserve">1,400 uncoordinated alerts </w:t>
      </w:r>
      <w:r>
        <w:t>across disjointed consoles. Security analysts suffered severe alert fatigue, resulting in delayed triage, uncoordinated containment emails, and an average Mean Time to Respond (MTTR) of 7.5 hours.</w:t>
      </w:r>
    </w:p>
    <w:p>
      <w:pPr>
        <w:spacing w:before="160" w:after="80"/>
      </w:pPr>
      <w:r>
        <w:rPr>
          <w:b/>
          <w:color w:val="0B2545"/>
          <w:sz w:val="24"/>
        </w:rPr>
        <w:t>2. End-to-End Attack Progression &amp; Autonomous Defense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5112"/>
        <w:gridCol w:w="5112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EA580C"/>
                <w:sz w:val="17"/>
              </w:rPr>
              <w:t>Stage 1: Initial Access</w:t>
              <w:br/>
            </w:r>
            <w:r>
              <w:rPr>
                <w:rFonts w:ascii="Consolas" w:hAnsi="Consolas"/>
                <w:b/>
                <w:color w:val="475569"/>
                <w:sz w:val="16"/>
              </w:rPr>
              <w:t>MITRE T1110 / T1078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0F172A"/>
                <w:sz w:val="19"/>
              </w:rPr>
              <w:t>Credential Stuffing &amp; Gateway Ingestion</w:t>
              <w:br/>
            </w:r>
            <w:r>
              <w:rPr>
                <w:color w:val="334155"/>
                <w:sz w:val="17"/>
              </w:rPr>
              <w:t>Threat actor launches distributed credential stuffing from proxy 203.0.113.77. Platform ingests syslog stream via leef_parser.py and normalizes fields to ECS schema (event.category: authentication, user.name: svc_billing).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7C3AED"/>
                <w:sz w:val="17"/>
              </w:rPr>
              <w:t>Stage 2: Dual Detection</w:t>
              <w:br/>
            </w:r>
            <w:r>
              <w:rPr>
                <w:rFonts w:ascii="Consolas" w:hAnsi="Consolas"/>
                <w:b/>
                <w:color w:val="475569"/>
                <w:sz w:val="16"/>
              </w:rPr>
              <w:t>Sigma + ML Isolation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0F172A"/>
                <w:sz w:val="19"/>
              </w:rPr>
              <w:t>Deterministic Rule Trigger &amp; Anomaly Outlier Detection</w:t>
              <w:br/>
            </w:r>
            <w:r>
              <w:rPr>
                <w:color w:val="334155"/>
                <w:sz w:val="17"/>
              </w:rPr>
              <w:t>Rule Engine fires RULE-AUTH-0042 (High-Frequency Failure). Concurrently, Scikit-Learn Isolation Forest detects volumetric outlier (Z-score &gt; 3.8). Threat intel sync matches abuseipdb_feed.py with 95% Malicious Confidence.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7"/>
              </w:rPr>
              <w:t>Stage 3: Correlation</w:t>
              <w:br/>
            </w:r>
            <w:r>
              <w:rPr>
                <w:rFonts w:ascii="Consolas" w:hAnsi="Consolas"/>
                <w:b/>
                <w:color w:val="475569"/>
                <w:sz w:val="16"/>
              </w:rPr>
              <w:t>MITRE T1021 / Graph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0F172A"/>
                <w:sz w:val="19"/>
              </w:rPr>
              <w:t>Alert Fatigue Collapse: 1,400 Alerts ➔ 1 Unified Incident</w:t>
              <w:br/>
            </w:r>
            <w:r>
              <w:rPr>
                <w:color w:val="334155"/>
                <w:sz w:val="17"/>
              </w:rPr>
              <w:t>Attacker moves laterally to AWS Bastion via SSH. Instead of creating 40 individual tickets, correlation_service.py links the common entity svc_billing and source IP into a single unified incident: INC-2026-0891.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DC2626"/>
                <w:sz w:val="17"/>
              </w:rPr>
              <w:t>Stage 4: Risk &amp; Gate</w:t>
              <w:br/>
            </w:r>
            <w:r>
              <w:rPr>
                <w:rFonts w:ascii="Consolas" w:hAnsi="Consolas"/>
                <w:b/>
                <w:color w:val="475569"/>
                <w:sz w:val="16"/>
              </w:rPr>
              <w:t>Score: 94 / 100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0F172A"/>
                <w:sz w:val="19"/>
              </w:rPr>
              <w:t>Dynamic Risk Vector &amp; Human-in-the-Loop Dual Approval</w:t>
              <w:br/>
            </w:r>
            <w:r>
              <w:rPr>
                <w:color w:val="334155"/>
                <w:sz w:val="17"/>
              </w:rPr>
              <w:t>Dynamic risk engine assigns a Critical 94/100 score due to Cloud Database asset multipliers. Playbook PLAYBOOK-CRIT-CONTAIN-01 triggers. Dual-authorization gate requires Lead Analyst confirmation before disruptive server action.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59669"/>
                <w:sz w:val="17"/>
              </w:rPr>
              <w:t>Stage 5: Containment</w:t>
              <w:br/>
            </w:r>
            <w:r>
              <w:rPr>
                <w:rFonts w:ascii="Consolas" w:hAnsi="Consolas"/>
                <w:b/>
                <w:color w:val="475569"/>
                <w:sz w:val="16"/>
              </w:rPr>
              <w:t>SOAR + Cryptography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0F172A"/>
                <w:sz w:val="19"/>
              </w:rPr>
              <w:t>Instant Isolation &amp; SHA-256 Tamper-Evident Ledger Entry</w:t>
              <w:br/>
            </w:r>
            <w:r>
              <w:rPr>
                <w:color w:val="334155"/>
                <w:sz w:val="17"/>
              </w:rPr>
              <w:t>Analyst approves containment in 1 click. firewall_executor.py blocks IP 203.0.113.77, revokes JWT tokens, and isolates the target instance in 1 minute 42 seconds. All actions are committed to the cryptographic ledger.</w:t>
            </w:r>
          </w:p>
        </w:tc>
      </w:tr>
    </w:tbl>
    <w:p/>
    <w:p>
      <w:pPr>
        <w:spacing w:before="200" w:after="80"/>
      </w:pPr>
      <w:r>
        <w:rPr>
          <w:b/>
          <w:color w:val="0B2545"/>
          <w:sz w:val="24"/>
        </w:rPr>
        <w:t>3. Performance &amp; Operational Benchmark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single" w:sz="6" w:space="0" w:color="CBD5E1"/>
          <w:left w:val="none"/>
          <w:right w:val="none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fill="0B25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Evaluation Dimension</w:t>
            </w:r>
          </w:p>
        </w:tc>
        <w:tc>
          <w:tcPr>
            <w:tcW w:type="dxa" w:w="3744"/>
            <w:shd w:fill="0B25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Traditional SOC / Legacy SIEM</w:t>
            </w:r>
          </w:p>
        </w:tc>
        <w:tc>
          <w:tcPr>
            <w:tcW w:type="dxa" w:w="3888"/>
            <w:shd w:fill="0B25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Unified Threat Platform (Our Solution)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7"/>
              </w:rPr>
              <w:t>Alert Volume &amp; Noise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DC2626"/>
                <w:sz w:val="17"/>
              </w:rPr>
              <w:t>1,400+ isolated notifications flooding consoles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7"/>
              </w:rPr>
              <w:t>Collapsed into 1 correlated incident story (99.9% reduction)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7"/>
              </w:rPr>
              <w:t>Mean Time to Detect (MTTD)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DC2626"/>
                <w:sz w:val="17"/>
              </w:rPr>
              <w:t>~45 minutes across siloed logs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7"/>
              </w:rPr>
              <w:t>Sub-second (1.4s) via WebSocket event mesh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7"/>
              </w:rPr>
              <w:t>Mean Time to Respond (MTTR)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DC2626"/>
                <w:sz w:val="17"/>
              </w:rPr>
              <w:t>~7.5 hours (manual ticketing &amp; email approvals)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7"/>
              </w:rPr>
              <w:t>1 minute 42 seconds (approval-gated SOAR)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7"/>
              </w:rPr>
              <w:t>Data Loss &amp; Blast Radius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DC2626"/>
                <w:sz w:val="17"/>
              </w:rPr>
              <w:t>250,000 records exfiltrated before containment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7"/>
              </w:rPr>
              <w:t>0 records lost; attack blocked at Lateral Movement stage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7"/>
              </w:rPr>
              <w:t>Audit Trail Integrity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DC2626"/>
                <w:sz w:val="17"/>
              </w:rPr>
              <w:t>Vulnerable flat log files; attacker wiped auth logs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7"/>
              </w:rPr>
              <w:t>Mathematically verifiable SHA-256 hash ledger</w:t>
            </w:r>
          </w:p>
        </w:tc>
      </w:tr>
    </w:tbl>
    <w:p/>
    <w:p>
      <w:pPr>
        <w:spacing w:before="160" w:after="80"/>
      </w:pPr>
      <w:r>
        <w:rPr>
          <w:b/>
          <w:color w:val="0B2545"/>
          <w:sz w:val="24"/>
        </w:rPr>
        <w:t>4. Key Operational Metrics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single" w:sz="6" w:space="0" w:color="CBD5E1"/>
          <w:left w:val="none"/>
          <w:right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49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Consolas" w:hAnsi="Consolas"/>
                <w:b/>
                <w:color w:val="0B2545"/>
                <w:sz w:val="28"/>
              </w:rPr>
              <w:t>99.9%</w:t>
              <w:br/>
            </w:r>
            <w:r>
              <w:rPr>
                <w:b/>
                <w:color w:val="64748B"/>
                <w:sz w:val="15"/>
              </w:rPr>
              <w:t>Alert Noise Reduction</w:t>
            </w:r>
          </w:p>
        </w:tc>
        <w:tc>
          <w:tcPr>
            <w:tcW w:type="dxa" w:w="2549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Consolas" w:hAnsi="Consolas"/>
                <w:b/>
                <w:color w:val="0B2545"/>
                <w:sz w:val="28"/>
              </w:rPr>
              <w:t>1m 42s</w:t>
              <w:br/>
            </w:r>
            <w:r>
              <w:rPr>
                <w:b/>
                <w:color w:val="64748B"/>
                <w:sz w:val="15"/>
              </w:rPr>
              <w:t>Total Containment MTTR</w:t>
            </w:r>
          </w:p>
        </w:tc>
        <w:tc>
          <w:tcPr>
            <w:tcW w:type="dxa" w:w="2549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Consolas" w:hAnsi="Consolas"/>
                <w:b/>
                <w:color w:val="0B2545"/>
                <w:sz w:val="28"/>
              </w:rPr>
              <w:t>0 Bytes</w:t>
              <w:br/>
            </w:r>
            <w:r>
              <w:rPr>
                <w:b/>
                <w:color w:val="64748B"/>
                <w:sz w:val="15"/>
              </w:rPr>
              <w:t>Confidential Data Lost</w:t>
            </w:r>
          </w:p>
        </w:tc>
        <w:tc>
          <w:tcPr>
            <w:tcW w:type="dxa" w:w="2549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Consolas" w:hAnsi="Consolas"/>
                <w:b/>
                <w:color w:val="0B2545"/>
                <w:sz w:val="28"/>
              </w:rPr>
              <w:t>100%</w:t>
              <w:br/>
            </w:r>
            <w:r>
              <w:rPr>
                <w:b/>
                <w:color w:val="64748B"/>
                <w:sz w:val="15"/>
              </w:rPr>
              <w:t>Audit Forensic Integrity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166534"/>
                <w:sz w:val="19"/>
              </w:rPr>
              <w:t>Cryptographic Proof of Tamper-Evident Verification (Block #0482)</w:t>
              <w:br/>
            </w:r>
            <w:r>
              <w:rPr>
                <w:b/>
                <w:color w:val="14532D"/>
                <w:sz w:val="17"/>
              </w:rPr>
              <w:t xml:space="preserve">Ledger Hash: </w:t>
            </w:r>
            <w:r>
              <w:rPr>
                <w:rFonts w:ascii="Consolas" w:hAnsi="Consolas"/>
                <w:b/>
                <w:color w:val="15803D"/>
                <w:sz w:val="16"/>
              </w:rPr>
              <w:t>e3b0c44298fc1c149afbf4c8996fb92427ae41e4649b934ca495991b7852b855</w:t>
              <w:br/>
            </w:r>
            <w:r>
              <w:rPr>
                <w:color w:val="166534"/>
                <w:sz w:val="16"/>
              </w:rPr>
              <w:t>Forensic Guarantee: Attacker's attempt to erase local /var/log/auth.log failed to compromise evidence. State verification confirmed zero deviation across all chained event blocks.</w:t>
            </w:r>
          </w:p>
        </w:tc>
      </w:tr>
    </w:tbl>
    <w:p>
      <w:pPr>
        <w:spacing w:before="320"/>
        <w:pBdr>
          <w:top w:val="single" w:sz="6" w:space="1" w:color="CBD5E1"/>
        </w:pBdr>
      </w:pPr>
      <w:r>
        <w:rPr>
          <w:color w:val="64748B"/>
          <w:sz w:val="16"/>
        </w:rPr>
        <w:t>Project: Unified Multi-Environment Cyber Threat Detection &amp; Response Platform • Department of Information Technology, JNTU-GV • Academic Year 2025–2026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