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6480"/>
          </w:tcPr>
          <w:p>
            <w:pPr>
              <w:spacing w:after="40"/>
            </w:pPr>
            <w:r>
              <w:rPr>
                <w:b/>
                <w:color w:val="0B2545"/>
                <w:sz w:val="24"/>
              </w:rPr>
              <w:t>JNTU-GV College of Engineering, Vizianagaram</w:t>
              <w:br/>
            </w:r>
            <w:r>
              <w:rPr>
                <w:color w:val="475569"/>
                <w:sz w:val="17"/>
              </w:rPr>
              <w:t>Department of Information Technology • Master of Computer Applications (M.C.A)</w:t>
              <w:br/>
            </w:r>
            <w:r>
              <w:rPr>
                <w:b/>
                <w:color w:val="1D4ED8"/>
                <w:sz w:val="18"/>
              </w:rPr>
              <w:t>Major Project Capstone Presentation Flash Card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0B2545"/>
                <w:sz w:val="17"/>
              </w:rPr>
              <w:t>CANDIDATE: PRAVALLIKA KALANGI</w:t>
              <w:br/>
            </w:r>
            <w:r>
              <w:rPr>
                <w:b/>
                <w:color w:val="134074"/>
                <w:sz w:val="17"/>
              </w:rPr>
              <w:t>ROLL NO: 24VV1F0044</w:t>
              <w:br/>
            </w:r>
            <w:r>
              <w:rPr>
                <w:color w:val="475569"/>
                <w:sz w:val="16"/>
              </w:rPr>
              <w:t>GUIDE: Dr. G. JAYA SUMA, Ph.D, Professor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368"/>
            <w:shd w:fill="0B254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93C5FD"/>
                <w:sz w:val="16"/>
              </w:rPr>
              <w:t>COMPARATIVE ARCHITECTURAL DEFENSE FLASH CARD</w:t>
              <w:br/>
            </w:r>
            <w:r>
              <w:rPr>
                <w:b/>
                <w:color w:val="FFFFFF"/>
                <w:sz w:val="26"/>
              </w:rPr>
              <w:t>Difference of These Two Projects: ApexFin Corp Breach Case Study vs Unified Threat Platform</w:t>
              <w:br/>
            </w:r>
            <w:r>
              <w:rPr>
                <w:color w:val="DBEAFE"/>
                <w:sz w:val="17"/>
              </w:rPr>
              <w:t>Side-by-Side Evaluation of Multi-Environment Telemetry, Graph Correlation, and Approval-Gated SOAR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12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DC2626"/>
                <w:sz w:val="16"/>
              </w:rPr>
              <w:t>❌ PROJECT 1 (CASE STUDY): APEXFIN CORP BASELINE</w:t>
              <w:br/>
            </w:r>
            <w:r>
              <w:rPr>
                <w:b/>
                <w:color w:val="991B1B"/>
                <w:sz w:val="19"/>
              </w:rPr>
              <w:t>ApexFin Corp: Multi-Stage Breach &amp; Legacy SOC System</w:t>
              <w:br/>
            </w:r>
            <w:r>
              <w:rPr>
                <w:color w:val="334155"/>
                <w:sz w:val="16"/>
              </w:rPr>
              <w:t>Enterprise banking case study environment. Fragmented tools generated 1,400+ alerts, taking 7.5 hours MTTR, wiped audit logs, and losing 250,000 records.</w:t>
            </w:r>
          </w:p>
        </w:tc>
        <w:tc>
          <w:tcPr>
            <w:tcW w:type="dxa" w:w="5112"/>
            <w:shd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59669"/>
                <w:sz w:val="16"/>
              </w:rPr>
              <w:t>✅ PROJECT 2 (CAPSTONE): OUR UNIFIED PLATFORM</w:t>
              <w:br/>
            </w:r>
            <w:r>
              <w:rPr>
                <w:b/>
                <w:color w:val="065F46"/>
                <w:sz w:val="19"/>
              </w:rPr>
              <w:t>Unified Multi-Environment Cyber Threat Platform</w:t>
              <w:br/>
            </w:r>
            <w:r>
              <w:rPr>
                <w:color w:val="334155"/>
                <w:sz w:val="16"/>
              </w:rPr>
              <w:t>Our autonomous cybersecurity platform: automated ECS 1.12 normalization, dual ML Isolation Forest detection, MITRE ATT&amp;CK kill-chain graph correlation, approval-gated SOAR (1m 42s), and SHA-256 ledger.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504"/>
        <w:gridCol w:w="3504"/>
        <w:gridCol w:w="3504"/>
      </w:tblGrid>
      <w:tr>
        <w:tc>
          <w:tcPr>
            <w:tcW w:type="dxa" w:w="2592"/>
            <w:shd w:fill="0B254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Comparison Dimension</w:t>
            </w:r>
          </w:p>
        </w:tc>
        <w:tc>
          <w:tcPr>
            <w:tcW w:type="dxa" w:w="3888"/>
            <w:shd w:fill="991B1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❌ Project 1: ApexFin Corp Case Study (Legacy SOC)</w:t>
            </w:r>
          </w:p>
        </w:tc>
        <w:tc>
          <w:tcPr>
            <w:tcW w:type="dxa" w:w="3888"/>
            <w:shd w:fill="065F4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✅ Project 2: Unified Threat Platform (Our Capstone)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1. Telemetry &amp; Ingestion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991B1B"/>
                <w:sz w:val="15"/>
              </w:rPr>
              <w:t>✗ Disparate log silos; AWS, Syslog, and Nginx logs un-normalized.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65F46"/>
                <w:sz w:val="15"/>
              </w:rPr>
              <w:t>✓ Automated Elastic Common Schema (ECS 1.12) &amp; STIX normalization.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2. Detection Mechanism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991B1B"/>
                <w:sz w:val="15"/>
              </w:rPr>
              <w:t>✗ Static threshold rules only; zero ML modeling; blind to volumetric anomalies.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65F46"/>
                <w:sz w:val="15"/>
              </w:rPr>
              <w:t>✓ Dual Engine: YAML Sigma rules + Scikit-Learn Isolation Forest ML.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3. Threat Intelligence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991B1B"/>
                <w:sz w:val="15"/>
              </w:rPr>
              <w:t>✗ Disconnected; analysts perform manual IP lookups in browser tabs.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65F46"/>
                <w:sz w:val="15"/>
              </w:rPr>
              <w:t>✓ Real-time AbuseIPDB synchronization (95% confidence) &amp; MITRE ATT&amp;CK sync.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4. Alert Fatigue &amp; Triage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991B1B"/>
                <w:sz w:val="15"/>
              </w:rPr>
              <w:t>✗ 1,400+ isolated notifications flood consoles; 85% noise leads to burnout.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65F46"/>
                <w:sz w:val="15"/>
              </w:rPr>
              <w:t>✓ 99.9% Noise Reduction: Graph clustering merges alerts to 1 incident.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5. Attack Progression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991B1B"/>
                <w:sz w:val="15"/>
              </w:rPr>
              <w:t>✗ Point-in-time alerts; cannot track attacker movement across hosts.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65F46"/>
                <w:sz w:val="15"/>
              </w:rPr>
              <w:t>✓ Chronological 7-stage MITRE kill-chain mapping across DMZ, Cloud, AD.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6. Risk Scoring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991B1B"/>
                <w:sz w:val="15"/>
              </w:rPr>
              <w:t>✗ Static High/Medium text labels; ignores asset business criticality.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65F46"/>
                <w:sz w:val="15"/>
              </w:rPr>
              <w:t>✓ Dynamic 0–100 Impact Risk Vector (Critical 94/100) with blast radius weighting.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7. Incident MTTR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991B1B"/>
                <w:sz w:val="15"/>
              </w:rPr>
              <w:t>✗ 7.5 hours MTTR: Manual emails and phone calls between teams.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65F46"/>
                <w:sz w:val="15"/>
              </w:rPr>
              <w:t>✓ 1 minute 42 seconds MTTR: Automated SOAR playbooks (IP block, isolate, JWT revoke).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8. Safeguard Approval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991B1B"/>
                <w:sz w:val="15"/>
              </w:rPr>
              <w:t>✗ No approval gates; risky containment scripts risk production crashes.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65F46"/>
                <w:sz w:val="15"/>
              </w:rPr>
              <w:t>✓ Human-in-the-Loop Dual-Authorization Gate with 1-click rollback tokens.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9. Forensic Audit Trail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991B1B"/>
                <w:sz w:val="15"/>
              </w:rPr>
              <w:t>✗ Flat files; attacker wiped /var/log/auth.log destroying legal evidence.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65F46"/>
                <w:sz w:val="15"/>
              </w:rPr>
              <w:t>✓ Tamper-evident SHA-256 Merkle ledger guarantees zero alteration.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10. Security Outcome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991B1B"/>
                <w:sz w:val="15"/>
              </w:rPr>
              <w:t>✗ Catastrophic breach: 250,000 records exfiltrated before containment.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065F46"/>
                <w:sz w:val="15"/>
              </w:rPr>
              <w:t>✓ Zero Data Loss: Attack contained at Stage 3; 0 records lost.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0B2545"/>
                <w:sz w:val="24"/>
              </w:rPr>
              <w:t>99.9%</w:t>
              <w:br/>
            </w:r>
            <w:r>
              <w:rPr>
                <w:b/>
                <w:color w:val="64748B"/>
                <w:sz w:val="14"/>
              </w:rPr>
              <w:t>Alert Noise Reduction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0B2545"/>
                <w:sz w:val="24"/>
              </w:rPr>
              <w:t>1m 42s</w:t>
              <w:br/>
            </w:r>
            <w:r>
              <w:rPr>
                <w:b/>
                <w:color w:val="64748B"/>
                <w:sz w:val="14"/>
              </w:rPr>
              <w:t>Containment MTTR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0B2545"/>
                <w:sz w:val="24"/>
              </w:rPr>
              <w:t>0 Bytes</w:t>
              <w:br/>
            </w:r>
            <w:r>
              <w:rPr>
                <w:b/>
                <w:color w:val="64748B"/>
                <w:sz w:val="14"/>
              </w:rPr>
              <w:t>Data Lost in Breach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0B2545"/>
                <w:sz w:val="24"/>
              </w:rPr>
              <w:t>100%</w:t>
              <w:br/>
            </w:r>
            <w:r>
              <w:rPr>
                <w:b/>
                <w:color w:val="64748B"/>
                <w:sz w:val="14"/>
              </w:rPr>
              <w:t>Audit Forensic Proof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