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left"/>
      </w:pPr>
      <w:r>
        <w:rPr>
          <w:rFonts w:ascii="Aptos" w:hAnsi="Aptos"/>
          <w:b/>
          <w:color w:val="007C91"/>
          <w:sz w:val="24"/>
        </w:rPr>
        <w:t>WEEK 2  |  LOGISTICS DATA ANALYST INTERNSHIP</w:t>
      </w:r>
    </w:p>
    <w:p>
      <w:pPr>
        <w:spacing w:before="320" w:after="160"/>
      </w:pPr>
      <w:r>
        <w:rPr>
          <w:rFonts w:ascii="Aptos Display" w:hAnsi="Aptos Display"/>
          <w:b/>
          <w:color w:val="16324F"/>
          <w:sz w:val="62"/>
        </w:rPr>
        <w:t>Data Collection,</w:t>
        <w:br/>
      </w:r>
      <w:r>
        <w:rPr>
          <w:rFonts w:ascii="Aptos Display" w:hAnsi="Aptos Display"/>
          <w:b/>
          <w:color w:val="16324F"/>
          <w:sz w:val="62"/>
        </w:rPr>
        <w:t>Cleaning, and</w:t>
        <w:br/>
      </w:r>
      <w:r>
        <w:rPr>
          <w:rFonts w:ascii="Aptos Display" w:hAnsi="Aptos Display"/>
          <w:b/>
          <w:color w:val="16324F"/>
          <w:sz w:val="62"/>
        </w:rPr>
        <w:t>Preprocessing</w:t>
      </w:r>
    </w:p>
    <w:p>
      <w:pPr>
        <w:spacing w:before="160" w:after="400"/>
      </w:pPr>
      <w:r>
        <w:rPr>
          <w:rFonts w:ascii="Aptos" w:hAnsi="Aptos"/>
          <w:color w:val="5C6770"/>
          <w:sz w:val="28"/>
        </w:rPr>
        <w:t>A documented Python workflow using the DataCo SMART Supply Chain dataset</w:t>
      </w:r>
    </w:p>
    <w:tbl>
      <w:tblPr>
        <w:tblW w:type="auto" w:w="0"/>
        <w:tblLayout w:type="fixed"/>
        <w:tblLook w:firstColumn="1" w:firstRow="1" w:lastColumn="0" w:lastRow="0" w:noHBand="0" w:noVBand="1" w:val="04A0"/>
      </w:tblPr>
      <w:tblGrid>
        <w:gridCol w:w="9648"/>
      </w:tblGrid>
      <w:tr>
        <w:trPr>
          <w:trHeight w:val="115"/>
        </w:trPr>
        <w:tc>
          <w:tcPr>
            <w:tcW w:type="dxa" w:w="9994"/>
            <w:shd w:fill="007C91"/>
          </w:tcPr>
          <w:p>
            <w:r/>
          </w:p>
        </w:tc>
      </w:tr>
    </w:tbl>
    <w:p>
      <w:pPr>
        <w:spacing w:after="360"/>
      </w:pP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2232"/>
            <w:vAlign w:val="center"/>
            <w:shd w:fill="16324F"/>
          </w:tcPr>
          <w:p>
            <w:pPr>
              <w:spacing w:after="0" w:before="0"/>
            </w:pPr>
            <w:r/>
            <w:r>
              <w:rPr>
                <w:rFonts w:ascii="Aptos" w:hAnsi="Aptos"/>
                <w:b/>
                <w:color w:val="FFFFFF"/>
                <w:sz w:val="18"/>
              </w:rPr>
              <w:t>Report details</w:t>
            </w:r>
          </w:p>
        </w:tc>
        <w:tc>
          <w:tcPr>
            <w:tcW w:type="dxa" w:w="7344"/>
            <w:vAlign w:val="center"/>
            <w:shd w:fill="16324F"/>
          </w:tcPr>
          <w:p>
            <w:pPr>
              <w:spacing w:after="0" w:before="0"/>
            </w:pPr>
            <w:r/>
            <w:r>
              <w:rPr>
                <w:rFonts w:ascii="Aptos" w:hAnsi="Aptos"/>
                <w:b/>
                <w:color w:val="FFFFFF"/>
                <w:sz w:val="18"/>
              </w:rPr>
              <w:t>Information</w:t>
            </w:r>
          </w:p>
        </w:tc>
      </w:tr>
      <w:tr>
        <w:tc>
          <w:tcPr>
            <w:tcW w:type="dxa" w:w="2232"/>
            <w:vAlign w:val="center"/>
          </w:tcPr>
          <w:p>
            <w:pPr>
              <w:spacing w:after="0" w:before="0"/>
            </w:pPr>
            <w:r/>
            <w:r>
              <w:rPr>
                <w:rFonts w:ascii="Aptos" w:hAnsi="Aptos"/>
                <w:b w:val="0"/>
                <w:sz w:val="18"/>
              </w:rPr>
              <w:t>Prepared by</w:t>
            </w:r>
          </w:p>
        </w:tc>
        <w:tc>
          <w:tcPr>
            <w:tcW w:type="dxa" w:w="7344"/>
            <w:vAlign w:val="center"/>
          </w:tcPr>
          <w:p>
            <w:pPr>
              <w:spacing w:after="0" w:before="0"/>
            </w:pPr>
            <w:r/>
            <w:r>
              <w:rPr>
                <w:rFonts w:ascii="Aptos" w:hAnsi="Aptos"/>
                <w:b w:val="0"/>
                <w:sz w:val="18"/>
              </w:rPr>
              <w:t>Pravallika Gurubhagavatula</w:t>
            </w:r>
          </w:p>
        </w:tc>
      </w:tr>
      <w:tr>
        <w:tc>
          <w:tcPr>
            <w:tcW w:type="dxa" w:w="2232"/>
            <w:vAlign w:val="center"/>
            <w:shd w:fill="F4F7FA"/>
          </w:tcPr>
          <w:p>
            <w:pPr>
              <w:spacing w:after="0" w:before="0"/>
            </w:pPr>
            <w:r/>
            <w:r>
              <w:rPr>
                <w:rFonts w:ascii="Aptos" w:hAnsi="Aptos"/>
                <w:b w:val="0"/>
                <w:sz w:val="18"/>
              </w:rPr>
              <w:t>Programme</w:t>
            </w:r>
          </w:p>
        </w:tc>
        <w:tc>
          <w:tcPr>
            <w:tcW w:type="dxa" w:w="7344"/>
            <w:vAlign w:val="center"/>
            <w:shd w:fill="F4F7FA"/>
          </w:tcPr>
          <w:p>
            <w:pPr>
              <w:spacing w:after="0" w:before="0"/>
            </w:pPr>
            <w:r/>
            <w:r>
              <w:rPr>
                <w:rFonts w:ascii="Aptos" w:hAnsi="Aptos"/>
                <w:b w:val="0"/>
                <w:sz w:val="18"/>
              </w:rPr>
              <w:t>Logistics Data Analyst Intern</w:t>
            </w:r>
          </w:p>
        </w:tc>
      </w:tr>
      <w:tr>
        <w:tc>
          <w:tcPr>
            <w:tcW w:type="dxa" w:w="2232"/>
            <w:vAlign w:val="center"/>
          </w:tcPr>
          <w:p>
            <w:pPr>
              <w:spacing w:after="0" w:before="0"/>
            </w:pPr>
            <w:r/>
            <w:r>
              <w:rPr>
                <w:rFonts w:ascii="Aptos" w:hAnsi="Aptos"/>
                <w:b w:val="0"/>
                <w:sz w:val="18"/>
              </w:rPr>
              <w:t>Task</w:t>
            </w:r>
          </w:p>
        </w:tc>
        <w:tc>
          <w:tcPr>
            <w:tcW w:type="dxa" w:w="7344"/>
            <w:vAlign w:val="center"/>
          </w:tcPr>
          <w:p>
            <w:pPr>
              <w:spacing w:after="0" w:before="0"/>
            </w:pPr>
            <w:r/>
            <w:r>
              <w:rPr>
                <w:rFonts w:ascii="Aptos" w:hAnsi="Aptos"/>
                <w:b w:val="0"/>
                <w:sz w:val="18"/>
              </w:rPr>
              <w:t>Week 2: Data Collection, Cleaning, and Preprocessing for Logistics Analysis</w:t>
            </w:r>
          </w:p>
        </w:tc>
      </w:tr>
      <w:tr>
        <w:tc>
          <w:tcPr>
            <w:tcW w:type="dxa" w:w="2232"/>
            <w:vAlign w:val="center"/>
            <w:shd w:fill="F4F7FA"/>
          </w:tcPr>
          <w:p>
            <w:pPr>
              <w:spacing w:after="0" w:before="0"/>
            </w:pPr>
            <w:r/>
            <w:r>
              <w:rPr>
                <w:rFonts w:ascii="Aptos" w:hAnsi="Aptos"/>
                <w:b w:val="0"/>
                <w:sz w:val="18"/>
              </w:rPr>
              <w:t>Dataset</w:t>
            </w:r>
          </w:p>
        </w:tc>
        <w:tc>
          <w:tcPr>
            <w:tcW w:type="dxa" w:w="7344"/>
            <w:vAlign w:val="center"/>
            <w:shd w:fill="F4F7FA"/>
          </w:tcPr>
          <w:p>
            <w:pPr>
              <w:spacing w:after="0" w:before="0"/>
            </w:pPr>
            <w:r/>
            <w:r>
              <w:rPr>
                <w:rFonts w:ascii="Aptos" w:hAnsi="Aptos"/>
                <w:b w:val="0"/>
                <w:sz w:val="18"/>
              </w:rPr>
              <w:t>DataCo SMART Supply Chain for Big Data Analysis</w:t>
            </w:r>
          </w:p>
        </w:tc>
      </w:tr>
      <w:tr>
        <w:tc>
          <w:tcPr>
            <w:tcW w:type="dxa" w:w="2232"/>
            <w:vAlign w:val="center"/>
          </w:tcPr>
          <w:p>
            <w:pPr>
              <w:spacing w:after="0" w:before="0"/>
            </w:pPr>
            <w:r/>
            <w:r>
              <w:rPr>
                <w:rFonts w:ascii="Aptos" w:hAnsi="Aptos"/>
                <w:b w:val="0"/>
                <w:sz w:val="18"/>
              </w:rPr>
              <w:t>Report date</w:t>
            </w:r>
          </w:p>
        </w:tc>
        <w:tc>
          <w:tcPr>
            <w:tcW w:type="dxa" w:w="7344"/>
            <w:vAlign w:val="center"/>
          </w:tcPr>
          <w:p>
            <w:pPr>
              <w:spacing w:after="0" w:before="0"/>
            </w:pPr>
            <w:r/>
            <w:r>
              <w:rPr>
                <w:rFonts w:ascii="Aptos" w:hAnsi="Aptos"/>
                <w:b w:val="0"/>
                <w:sz w:val="18"/>
              </w:rPr>
              <w:t>15 October 2026</w:t>
            </w:r>
          </w:p>
        </w:tc>
      </w:tr>
    </w:tbl>
    <w:p>
      <w:pPr>
        <w:spacing w:after="20"/>
      </w:pPr>
    </w:p>
    <w:p>
      <w:pPr>
        <w:spacing w:before="760"/>
      </w:pPr>
      <w:r>
        <w:rPr>
          <w:rFonts w:ascii="Aptos" w:hAnsi="Aptos"/>
          <w:b/>
          <w:color w:val="007C91"/>
          <w:sz w:val="22"/>
        </w:rPr>
        <w:t>Practical focus</w:t>
      </w:r>
    </w:p>
    <w:p>
      <w:pPr>
        <w:spacing w:after="120" w:before="0"/>
      </w:pPr>
      <w:r>
        <w:rPr>
          <w:rFonts w:ascii="Aptos" w:hAnsi="Aptos"/>
          <w:i w:val="0"/>
          <w:sz w:val="20"/>
        </w:rPr>
        <w:t>This report documents the actual preprocessing run, explains the decisions made, presents the numerical evidence, and identifies limitations that matter before downstream logistics analysis.</w:t>
      </w:r>
    </w:p>
    <w:p>
      <w:r>
        <w:br w:type="page"/>
      </w:r>
    </w:p>
    <w:p>
      <w:pPr>
        <w:pStyle w:val="Heading1"/>
        <w:keepNext/>
      </w:pPr>
      <w:r>
        <w:rPr>
          <w:rFonts w:ascii="Aptos" w:hAnsi="Aptos"/>
          <w:b/>
          <w:color w:val="16324F"/>
          <w:sz w:val="32"/>
        </w:rPr>
        <w:t>Executive Summary</w:t>
      </w:r>
    </w:p>
    <w:p>
      <w:pPr>
        <w:spacing w:after="120" w:before="0"/>
      </w:pPr>
      <w:r>
        <w:rPr>
          <w:rFonts w:ascii="Aptos" w:hAnsi="Aptos"/>
          <w:i w:val="0"/>
          <w:sz w:val="20"/>
        </w:rPr>
        <w:t>This task used a public supply-chain transaction dataset to simulate a logistics data collection and preprocessing workflow. The main CSV was read from the local project folder, profiled with pandas, cleaned using documented column and validity rules, reviewed for statistical outliers, and transformed into a separate Min-Max-scaled feature file. The original raw file was preserved.</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3672"/>
            <w:vAlign w:val="center"/>
            <w:shd w:fill="16324F"/>
          </w:tcPr>
          <w:p>
            <w:pPr>
              <w:spacing w:after="0" w:before="0"/>
            </w:pPr>
            <w:r/>
            <w:r>
              <w:rPr>
                <w:rFonts w:ascii="Aptos" w:hAnsi="Aptos"/>
                <w:b/>
                <w:color w:val="FFFFFF"/>
                <w:sz w:val="18"/>
              </w:rPr>
              <w:t>Measure</w:t>
            </w:r>
          </w:p>
        </w:tc>
        <w:tc>
          <w:tcPr>
            <w:tcW w:type="dxa" w:w="5904"/>
            <w:vAlign w:val="center"/>
            <w:shd w:fill="16324F"/>
          </w:tcPr>
          <w:p>
            <w:pPr>
              <w:spacing w:after="0" w:before="0"/>
            </w:pPr>
            <w:r/>
            <w:r>
              <w:rPr>
                <w:rFonts w:ascii="Aptos" w:hAnsi="Aptos"/>
                <w:b/>
                <w:color w:val="FFFFFF"/>
                <w:sz w:val="18"/>
              </w:rPr>
              <w:t>Verified result</w:t>
            </w:r>
          </w:p>
        </w:tc>
      </w:tr>
      <w:tr>
        <w:tc>
          <w:tcPr>
            <w:tcW w:type="dxa" w:w="3672"/>
            <w:vAlign w:val="center"/>
          </w:tcPr>
          <w:p>
            <w:pPr>
              <w:spacing w:after="0" w:before="0"/>
            </w:pPr>
            <w:r/>
            <w:r>
              <w:rPr>
                <w:rFonts w:ascii="Aptos" w:hAnsi="Aptos"/>
                <w:b w:val="0"/>
                <w:sz w:val="18"/>
              </w:rPr>
              <w:t>Source records</w:t>
            </w:r>
          </w:p>
        </w:tc>
        <w:tc>
          <w:tcPr>
            <w:tcW w:type="dxa" w:w="5904"/>
            <w:vAlign w:val="center"/>
          </w:tcPr>
          <w:p>
            <w:pPr>
              <w:spacing w:after="0" w:before="0"/>
            </w:pPr>
            <w:r/>
            <w:r>
              <w:rPr>
                <w:rFonts w:ascii="Aptos" w:hAnsi="Aptos"/>
                <w:b w:val="0"/>
                <w:sz w:val="18"/>
              </w:rPr>
              <w:t>180,519 rows × 53 columns</w:t>
            </w:r>
          </w:p>
        </w:tc>
      </w:tr>
      <w:tr>
        <w:tc>
          <w:tcPr>
            <w:tcW w:type="dxa" w:w="3672"/>
            <w:vAlign w:val="center"/>
            <w:shd w:fill="F4F7FA"/>
          </w:tcPr>
          <w:p>
            <w:pPr>
              <w:spacing w:after="0" w:before="0"/>
            </w:pPr>
            <w:r/>
            <w:r>
              <w:rPr>
                <w:rFonts w:ascii="Aptos" w:hAnsi="Aptos"/>
                <w:b w:val="0"/>
                <w:sz w:val="18"/>
              </w:rPr>
              <w:t>Local source file size</w:t>
            </w:r>
          </w:p>
        </w:tc>
        <w:tc>
          <w:tcPr>
            <w:tcW w:type="dxa" w:w="5904"/>
            <w:vAlign w:val="center"/>
            <w:shd w:fill="F4F7FA"/>
          </w:tcPr>
          <w:p>
            <w:pPr>
              <w:spacing w:after="0" w:before="0"/>
            </w:pPr>
            <w:r/>
            <w:r>
              <w:rPr>
                <w:rFonts w:ascii="Aptos" w:hAnsi="Aptos"/>
                <w:b w:val="0"/>
                <w:sz w:val="18"/>
              </w:rPr>
              <w:t>95,910,149 bytes</w:t>
            </w:r>
          </w:p>
        </w:tc>
      </w:tr>
      <w:tr>
        <w:tc>
          <w:tcPr>
            <w:tcW w:type="dxa" w:w="3672"/>
            <w:vAlign w:val="center"/>
          </w:tcPr>
          <w:p>
            <w:pPr>
              <w:spacing w:after="0" w:before="0"/>
            </w:pPr>
            <w:r/>
            <w:r>
              <w:rPr>
                <w:rFonts w:ascii="Aptos" w:hAnsi="Aptos"/>
                <w:b w:val="0"/>
                <w:sz w:val="18"/>
              </w:rPr>
              <w:t>Exact duplicate rows</w:t>
            </w:r>
          </w:p>
        </w:tc>
        <w:tc>
          <w:tcPr>
            <w:tcW w:type="dxa" w:w="5904"/>
            <w:vAlign w:val="center"/>
          </w:tcPr>
          <w:p>
            <w:pPr>
              <w:spacing w:after="0" w:before="0"/>
            </w:pPr>
            <w:r/>
            <w:r>
              <w:rPr>
                <w:rFonts w:ascii="Aptos" w:hAnsi="Aptos"/>
                <w:b w:val="0"/>
                <w:sz w:val="18"/>
              </w:rPr>
              <w:t>0</w:t>
            </w:r>
          </w:p>
        </w:tc>
      </w:tr>
      <w:tr>
        <w:tc>
          <w:tcPr>
            <w:tcW w:type="dxa" w:w="3672"/>
            <w:vAlign w:val="center"/>
            <w:shd w:fill="F4F7FA"/>
          </w:tcPr>
          <w:p>
            <w:pPr>
              <w:spacing w:after="0" w:before="0"/>
            </w:pPr>
            <w:r/>
            <w:r>
              <w:rPr>
                <w:rFonts w:ascii="Aptos" w:hAnsi="Aptos"/>
                <w:b w:val="0"/>
                <w:sz w:val="18"/>
              </w:rPr>
              <w:t>Columns removed</w:t>
            </w:r>
          </w:p>
        </w:tc>
        <w:tc>
          <w:tcPr>
            <w:tcW w:type="dxa" w:w="5904"/>
            <w:vAlign w:val="center"/>
            <w:shd w:fill="F4F7FA"/>
          </w:tcPr>
          <w:p>
            <w:pPr>
              <w:spacing w:after="0" w:before="0"/>
            </w:pPr>
            <w:r/>
            <w:r>
              <w:rPr>
                <w:rFonts w:ascii="Aptos" w:hAnsi="Aptos"/>
                <w:b w:val="0"/>
                <w:sz w:val="18"/>
              </w:rPr>
              <w:t>8 (missingness, irrelevance, or privacy/data minimisation)</w:t>
            </w:r>
          </w:p>
        </w:tc>
      </w:tr>
      <w:tr>
        <w:tc>
          <w:tcPr>
            <w:tcW w:type="dxa" w:w="3672"/>
            <w:vAlign w:val="center"/>
          </w:tcPr>
          <w:p>
            <w:pPr>
              <w:spacing w:after="0" w:before="0"/>
            </w:pPr>
            <w:r/>
            <w:r>
              <w:rPr>
                <w:rFonts w:ascii="Aptos" w:hAnsi="Aptos"/>
                <w:b w:val="0"/>
                <w:sz w:val="18"/>
              </w:rPr>
              <w:t>Records removed by cleaning rules</w:t>
            </w:r>
          </w:p>
        </w:tc>
        <w:tc>
          <w:tcPr>
            <w:tcW w:type="dxa" w:w="5904"/>
            <w:vAlign w:val="center"/>
          </w:tcPr>
          <w:p>
            <w:pPr>
              <w:spacing w:after="0" w:before="0"/>
            </w:pPr>
            <w:r/>
            <w:r>
              <w:rPr>
                <w:rFonts w:ascii="Aptos" w:hAnsi="Aptos"/>
                <w:b w:val="0"/>
                <w:sz w:val="18"/>
              </w:rPr>
              <w:t>0</w:t>
            </w:r>
          </w:p>
        </w:tc>
      </w:tr>
      <w:tr>
        <w:tc>
          <w:tcPr>
            <w:tcW w:type="dxa" w:w="3672"/>
            <w:vAlign w:val="center"/>
            <w:shd w:fill="F4F7FA"/>
          </w:tcPr>
          <w:p>
            <w:pPr>
              <w:spacing w:after="0" w:before="0"/>
            </w:pPr>
            <w:r/>
            <w:r>
              <w:rPr>
                <w:rFonts w:ascii="Aptos" w:hAnsi="Aptos"/>
                <w:b w:val="0"/>
                <w:sz w:val="18"/>
              </w:rPr>
              <w:t>Final cleaned dataset</w:t>
            </w:r>
          </w:p>
        </w:tc>
        <w:tc>
          <w:tcPr>
            <w:tcW w:type="dxa" w:w="5904"/>
            <w:vAlign w:val="center"/>
            <w:shd w:fill="F4F7FA"/>
          </w:tcPr>
          <w:p>
            <w:pPr>
              <w:spacing w:after="0" w:before="0"/>
            </w:pPr>
            <w:r/>
            <w:r>
              <w:rPr>
                <w:rFonts w:ascii="Aptos" w:hAnsi="Aptos"/>
                <w:b w:val="0"/>
                <w:sz w:val="18"/>
              </w:rPr>
              <w:t>180,519 rows × 46 columns</w:t>
            </w:r>
          </w:p>
        </w:tc>
      </w:tr>
      <w:tr>
        <w:tc>
          <w:tcPr>
            <w:tcW w:type="dxa" w:w="3672"/>
            <w:vAlign w:val="center"/>
          </w:tcPr>
          <w:p>
            <w:pPr>
              <w:spacing w:after="0" w:before="0"/>
            </w:pPr>
            <w:r/>
            <w:r>
              <w:rPr>
                <w:rFonts w:ascii="Aptos" w:hAnsi="Aptos"/>
                <w:b w:val="0"/>
                <w:sz w:val="18"/>
              </w:rPr>
              <w:t>Missing cells in retained cleaned dataset</w:t>
            </w:r>
          </w:p>
        </w:tc>
        <w:tc>
          <w:tcPr>
            <w:tcW w:type="dxa" w:w="5904"/>
            <w:vAlign w:val="center"/>
          </w:tcPr>
          <w:p>
            <w:pPr>
              <w:spacing w:after="0" w:before="0"/>
            </w:pPr>
            <w:r/>
            <w:r>
              <w:rPr>
                <w:rFonts w:ascii="Aptos" w:hAnsi="Aptos"/>
                <w:b w:val="0"/>
                <w:sz w:val="18"/>
              </w:rPr>
              <w:t>0</w:t>
            </w:r>
          </w:p>
        </w:tc>
      </w:tr>
      <w:tr>
        <w:tc>
          <w:tcPr>
            <w:tcW w:type="dxa" w:w="3672"/>
            <w:vAlign w:val="center"/>
            <w:shd w:fill="F4F7FA"/>
          </w:tcPr>
          <w:p>
            <w:pPr>
              <w:spacing w:after="0" w:before="0"/>
            </w:pPr>
            <w:r/>
            <w:r>
              <w:rPr>
                <w:rFonts w:ascii="Aptos" w:hAnsi="Aptos"/>
                <w:b w:val="0"/>
                <w:sz w:val="18"/>
              </w:rPr>
              <w:t>Numerical features normalized</w:t>
            </w:r>
          </w:p>
        </w:tc>
        <w:tc>
          <w:tcPr>
            <w:tcW w:type="dxa" w:w="5904"/>
            <w:vAlign w:val="center"/>
            <w:shd w:fill="F4F7FA"/>
          </w:tcPr>
          <w:p>
            <w:pPr>
              <w:spacing w:after="0" w:before="0"/>
            </w:pPr>
            <w:r/>
            <w:r>
              <w:rPr>
                <w:rFonts w:ascii="Aptos" w:hAnsi="Aptos"/>
                <w:b w:val="0"/>
                <w:sz w:val="18"/>
              </w:rPr>
              <w:t>8; observed scaled range 0.0–1.0</w:t>
            </w:r>
          </w:p>
        </w:tc>
      </w:tr>
      <w:tr>
        <w:tc>
          <w:tcPr>
            <w:tcW w:type="dxa" w:w="3672"/>
            <w:vAlign w:val="center"/>
          </w:tcPr>
          <w:p>
            <w:pPr>
              <w:spacing w:after="0" w:before="0"/>
            </w:pPr>
            <w:r/>
            <w:r>
              <w:rPr>
                <w:rFonts w:ascii="Aptos" w:hAnsi="Aptos"/>
                <w:b w:val="0"/>
                <w:sz w:val="18"/>
              </w:rPr>
              <w:t>Outlier handling</w:t>
            </w:r>
          </w:p>
        </w:tc>
        <w:tc>
          <w:tcPr>
            <w:tcW w:type="dxa" w:w="5904"/>
            <w:vAlign w:val="center"/>
          </w:tcPr>
          <w:p>
            <w:pPr>
              <w:spacing w:after="0" w:before="0"/>
            </w:pPr>
            <w:r/>
            <w:r>
              <w:rPr>
                <w:rFonts w:ascii="Aptos" w:hAnsi="Aptos"/>
                <w:b w:val="0"/>
                <w:sz w:val="18"/>
              </w:rPr>
              <w:t>IQR flags recorded for investigation; no outlier rows deleted</w:t>
            </w:r>
          </w:p>
        </w:tc>
      </w:tr>
    </w:tbl>
    <w:p>
      <w:pPr>
        <w:spacing w:after="20"/>
      </w:pPr>
    </w:p>
    <w:p>
      <w:pPr>
        <w:pStyle w:val="Heading2"/>
        <w:keepNext/>
      </w:pPr>
      <w:r>
        <w:rPr>
          <w:rFonts w:ascii="Aptos" w:hAnsi="Aptos"/>
          <w:b/>
          <w:color w:val="007C91"/>
          <w:sz w:val="25"/>
        </w:rPr>
        <w:t>Main conclusions</w:t>
      </w:r>
    </w:p>
    <w:p>
      <w:pPr>
        <w:pStyle w:val="ListBullet"/>
        <w:spacing w:after="60"/>
      </w:pPr>
      <w:r>
        <w:t>The four fields containing missing values accounted for all 336,209 missing cells in the source file. They were excluded from the task-specific cleaned table; no imputation was performed.</w:t>
      </w:r>
    </w:p>
    <w:p>
      <w:pPr>
        <w:pStyle w:val="ListBullet"/>
        <w:spacing w:after="60"/>
      </w:pPr>
      <w:r>
        <w:t>No fully duplicated records, missing required-field rows, negative shipping durations, non-positive item quantities, negative prices, or shipping-before-order-date records were flagged by the checks implemented.</w:t>
      </w:r>
    </w:p>
    <w:p>
      <w:pPr>
        <w:pStyle w:val="ListBullet"/>
        <w:spacing w:after="60"/>
      </w:pPr>
      <w:r>
        <w:t>The IQR rule flagged 35,701 schedule-variance values (19.78%) and 18,942 order-profit values (10.49%). These were retained because statistical outliers are not necessarily errors.</w:t>
      </w:r>
    </w:p>
    <w:p>
      <w:pPr>
        <w:pStyle w:val="ListBullet"/>
        <w:spacing w:after="60"/>
      </w:pPr>
      <w:r>
        <w:t>All eight selected numeric feature columns were scaled to the 0–1 range. The scaled file is a preprocessing demonstration, not a trained predictive model.</w:t>
      </w:r>
    </w:p>
    <w:p>
      <w:pPr>
        <w:spacing w:after="80" w:before="0"/>
      </w:pPr>
      <w:r>
        <w:rPr>
          <w:rFonts w:ascii="Aptos" w:hAnsi="Aptos"/>
          <w:i/>
          <w:sz w:val="20"/>
        </w:rPr>
        <w:t>Scope note: the work is a reproducible preprocessing exercise based on an existing public dataset. It is not a live production data-ingestion system, and no predictive model was trained as part of this task.</w:t>
      </w:r>
    </w:p>
    <w:p>
      <w:r>
        <w:br w:type="page"/>
      </w:r>
    </w:p>
    <w:p>
      <w:pPr>
        <w:pStyle w:val="Heading1"/>
        <w:keepNext/>
      </w:pPr>
      <w:r>
        <w:rPr>
          <w:rFonts w:ascii="Aptos" w:hAnsi="Aptos"/>
          <w:b/>
          <w:color w:val="16324F"/>
          <w:sz w:val="32"/>
        </w:rPr>
        <w:t>1. Task Objective and Data Collection Simulation</w:t>
      </w:r>
    </w:p>
    <w:p>
      <w:pPr>
        <w:spacing w:after="100" w:before="0"/>
      </w:pPr>
      <w:r>
        <w:rPr>
          <w:rFonts w:ascii="Aptos" w:hAnsi="Aptos"/>
          <w:i w:val="0"/>
          <w:sz w:val="20"/>
        </w:rPr>
        <w:t>The objective was to prepare logistics data for reliable downstream analysis by identifying data-quality problems, choosing appropriate treatments, documenting the process in Python, and reflecting on the effect of data quality on business decisions.</w:t>
      </w:r>
    </w:p>
    <w:p>
      <w:pPr>
        <w:pStyle w:val="Heading2"/>
        <w:keepNext/>
      </w:pPr>
      <w:r>
        <w:rPr>
          <w:rFonts w:ascii="Aptos" w:hAnsi="Aptos"/>
          <w:b/>
          <w:color w:val="007C91"/>
          <w:sz w:val="25"/>
        </w:rPr>
        <w:t>1.1 Public dataset selection</w:t>
      </w:r>
    </w:p>
    <w:p>
      <w:pPr>
        <w:spacing w:after="100" w:before="0"/>
      </w:pPr>
      <w:r>
        <w:rPr>
          <w:rFonts w:ascii="Aptos" w:hAnsi="Aptos"/>
          <w:i w:val="0"/>
          <w:sz w:val="20"/>
        </w:rPr>
        <w:t>The project uses the DataCo SMART Supply Chain for Big Data Analysis dataset released by Constante, Silva, and Pereira on Mendeley Data. The repository describes structured transaction data covering supply chain activity such as provisioning, production, sales, and commercial distribution, alongside a separate clickstream file and a variable-description file [1].</w:t>
      </w:r>
    </w:p>
    <w:p>
      <w:pPr>
        <w:spacing w:after="100" w:before="0"/>
      </w:pPr>
      <w:r>
        <w:rPr>
          <w:rFonts w:ascii="Aptos" w:hAnsi="Aptos"/>
          <w:i w:val="0"/>
          <w:sz w:val="20"/>
        </w:rPr>
        <w:t>The local file used in this task was DataCoSupplyChainDataset.csv. PowerShell reported a file length of 95,910,149 bytes. The CSV was loaded with encoding="latin-1", which allowed the file to be read without an encoding exception. The dataset was downloaded in advance and placed in data/raw/; no API connection, scheduled extract, or live logistics-system integration was implemented.</w:t>
      </w:r>
    </w:p>
    <w:p>
      <w:pPr>
        <w:pStyle w:val="Heading2"/>
        <w:keepNext/>
      </w:pPr>
      <w:r>
        <w:rPr>
          <w:rFonts w:ascii="Aptos" w:hAnsi="Aptos"/>
          <w:b/>
          <w:color w:val="007C91"/>
          <w:sz w:val="25"/>
        </w:rPr>
        <w:t>1.2 Fields relevant to logistics</w:t>
      </w:r>
    </w:p>
    <w:p>
      <w:pPr>
        <w:spacing w:after="100" w:before="0"/>
      </w:pPr>
      <w:r>
        <w:rPr>
          <w:rFonts w:ascii="Aptos" w:hAnsi="Aptos"/>
          <w:i w:val="0"/>
          <w:sz w:val="20"/>
        </w:rPr>
        <w:t>The source contained order identifiers, delivery status, shipping mode, market and region, scheduled and actual shipping days, sales/order-item amounts, order dates and shipping dates, customer and product fields, and other transaction attributes. The Week 2 workflow focused on fields needed to inspect shipment duration and schedule variance while removing direct customer identifiers that were not required.</w:t>
      </w:r>
    </w:p>
    <w:p>
      <w:pPr>
        <w:pStyle w:val="Heading2"/>
        <w:keepNext/>
      </w:pPr>
      <w:r>
        <w:rPr>
          <w:rFonts w:ascii="Aptos" w:hAnsi="Aptos"/>
          <w:b/>
          <w:color w:val="007C91"/>
          <w:sz w:val="25"/>
        </w:rPr>
        <w:t>1.3 Reproducible folder structure</w:t>
      </w:r>
    </w:p>
    <w:tbl>
      <w:tblPr>
        <w:tblW w:type="auto" w:w="0"/>
        <w:jc w:val="center"/>
        <w:tblLook w:firstColumn="1" w:firstRow="1" w:lastColumn="0" w:lastRow="0" w:noHBand="0" w:noVBand="1" w:val="04A0"/>
      </w:tblPr>
      <w:tblGrid>
        <w:gridCol w:w="9994"/>
      </w:tblGrid>
      <w:tr>
        <w:tc>
          <w:tcPr>
            <w:tcW w:type="dxa" w:w="9994"/>
            <w:shd w:fill="F1F4F7"/>
          </w:tcPr>
          <w:p>
            <w:pPr>
              <w:spacing w:after="0" w:before="0" w:line="240" w:lineRule="auto"/>
            </w:pPr>
            <w:r/>
            <w:r>
              <w:rPr>
                <w:rFonts w:ascii="Consolas" w:hAnsi="Consolas"/>
                <w:color w:val="243746"/>
                <w:sz w:val="15"/>
              </w:rPr>
              <w:t>LogisticsAnalytics_Week1/</w:t>
            </w:r>
          </w:p>
          <w:p>
            <w:pPr>
              <w:spacing w:after="0" w:before="0" w:line="240" w:lineRule="auto"/>
            </w:pPr>
            <w:r>
              <w:rPr>
                <w:rFonts w:ascii="Consolas" w:hAnsi="Consolas"/>
                <w:color w:val="243746"/>
                <w:sz w:val="15"/>
              </w:rPr>
              <w:t>├── data/</w:t>
            </w:r>
          </w:p>
          <w:p>
            <w:pPr>
              <w:spacing w:after="0" w:before="0" w:line="240" w:lineRule="auto"/>
            </w:pPr>
            <w:r>
              <w:rPr>
                <w:rFonts w:ascii="Consolas" w:hAnsi="Consolas"/>
                <w:color w:val="243746"/>
                <w:sz w:val="15"/>
              </w:rPr>
              <w:t>│   ├── raw/DataCoSupplyChainDataset.csv        # unchanged source</w:t>
            </w:r>
          </w:p>
          <w:p>
            <w:pPr>
              <w:spacing w:after="0" w:before="0" w:line="240" w:lineRule="auto"/>
            </w:pPr>
            <w:r>
              <w:rPr>
                <w:rFonts w:ascii="Consolas" w:hAnsi="Consolas"/>
                <w:color w:val="243746"/>
                <w:sz w:val="15"/>
              </w:rPr>
              <w:t>│   └── processed/                              # generated output tables</w:t>
            </w:r>
          </w:p>
          <w:p>
            <w:pPr>
              <w:spacing w:after="0" w:before="0" w:line="240" w:lineRule="auto"/>
            </w:pPr>
            <w:r>
              <w:rPr>
                <w:rFonts w:ascii="Consolas" w:hAnsi="Consolas"/>
                <w:color w:val="243746"/>
                <w:sz w:val="15"/>
              </w:rPr>
              <w:t>├── outputs/charts/                             # quality and preprocessing figures</w:t>
            </w:r>
          </w:p>
          <w:p>
            <w:pPr>
              <w:spacing w:after="0" w:before="0" w:line="240" w:lineRule="auto"/>
            </w:pPr>
            <w:r>
              <w:rPr>
                <w:rFonts w:ascii="Consolas" w:hAnsi="Consolas"/>
                <w:color w:val="243746"/>
                <w:sz w:val="15"/>
              </w:rPr>
              <w:t>└── src/</w:t>
            </w:r>
          </w:p>
          <w:p>
            <w:pPr>
              <w:spacing w:after="0" w:before="0" w:line="240" w:lineRule="auto"/>
            </w:pPr>
            <w:r>
              <w:rPr>
                <w:rFonts w:ascii="Consolas" w:hAnsi="Consolas"/>
                <w:color w:val="243746"/>
                <w:sz w:val="15"/>
              </w:rPr>
              <w:t xml:space="preserve">    ├── week2_data_preprocessing.py              # profiling + cleaning + scaling</w:t>
            </w:r>
          </w:p>
          <w:p>
            <w:pPr>
              <w:spacing w:after="0" w:before="0" w:line="240" w:lineRule="auto"/>
            </w:pPr>
            <w:r>
              <w:rPr>
                <w:rFonts w:ascii="Consolas" w:hAnsi="Consolas"/>
                <w:color w:val="243746"/>
                <w:sz w:val="15"/>
              </w:rPr>
              <w:t xml:space="preserve">    └── week2_create_report_visuals.py           # report charts</w:t>
            </w:r>
          </w:p>
        </w:tc>
      </w:tr>
    </w:tbl>
    <w:p>
      <w:pPr>
        <w:spacing w:after="20"/>
      </w:pPr>
    </w:p>
    <w:p>
      <w:pPr>
        <w:spacing w:after="100" w:before="0"/>
      </w:pPr>
      <w:r>
        <w:rPr>
          <w:rFonts w:ascii="Aptos" w:hAnsi="Aptos"/>
          <w:i w:val="0"/>
          <w:sz w:val="20"/>
        </w:rPr>
        <w:t>The preprocessing script writes separate output files so the input dataset remains unchanged. Generated full-size cleaned and normalized CSVs are local working outputs and should not be committed to GitHub if their size is unnecessary.</w:t>
      </w:r>
    </w:p>
    <w:p>
      <w:pPr>
        <w:pStyle w:val="Heading1"/>
        <w:keepNext/>
      </w:pPr>
      <w:r>
        <w:rPr>
          <w:rFonts w:ascii="Aptos" w:hAnsi="Aptos"/>
          <w:b/>
          <w:color w:val="16324F"/>
          <w:sz w:val="32"/>
        </w:rPr>
        <w:t>2. Initial Data-Quality Assessment</w:t>
      </w:r>
    </w:p>
    <w:p>
      <w:pPr>
        <w:spacing w:after="100" w:before="0"/>
      </w:pPr>
      <w:r>
        <w:rPr>
          <w:rFonts w:ascii="Aptos" w:hAnsi="Aptos"/>
          <w:i w:val="0"/>
          <w:sz w:val="20"/>
        </w:rPr>
        <w:t>The first audit identified 180,519 records and 53 columns. A full-row duplicate check returned zero. Missing values were concentrated in four columns, and the sum of those missing cells equalled the total missing-cell count reported for the source file.</w:t>
      </w:r>
    </w:p>
    <w:tbl>
      <w:tblPr>
        <w:tblStyle w:val="TableGrid"/>
        <w:tblW w:type="auto" w:w="0"/>
        <w:jc w:val="center"/>
        <w:tblLook w:firstColumn="1" w:firstRow="1" w:lastColumn="0" w:lastRow="0" w:noHBand="0" w:noVBand="1" w:val="04A0"/>
      </w:tblPr>
      <w:tblGrid>
        <w:gridCol w:w="2498"/>
        <w:gridCol w:w="2498"/>
        <w:gridCol w:w="2498"/>
        <w:gridCol w:w="2498"/>
      </w:tblGrid>
      <w:tr>
        <w:trPr>
          <w:tblHeader w:val="true"/>
        </w:trPr>
        <w:tc>
          <w:tcPr>
            <w:tcW w:type="dxa" w:w="2232"/>
            <w:vAlign w:val="center"/>
            <w:shd w:fill="16324F"/>
          </w:tcPr>
          <w:p>
            <w:pPr>
              <w:spacing w:after="0" w:before="0"/>
            </w:pPr>
            <w:r/>
            <w:r>
              <w:rPr>
                <w:rFonts w:ascii="Aptos" w:hAnsi="Aptos"/>
                <w:b/>
                <w:color w:val="FFFFFF"/>
                <w:sz w:val="17"/>
              </w:rPr>
              <w:t>Column</w:t>
            </w:r>
          </w:p>
        </w:tc>
        <w:tc>
          <w:tcPr>
            <w:tcW w:type="dxa" w:w="1656"/>
            <w:vAlign w:val="center"/>
            <w:shd w:fill="16324F"/>
          </w:tcPr>
          <w:p>
            <w:pPr>
              <w:spacing w:after="0" w:before="0"/>
            </w:pPr>
            <w:r/>
            <w:r>
              <w:rPr>
                <w:rFonts w:ascii="Aptos" w:hAnsi="Aptos"/>
                <w:b/>
                <w:color w:val="FFFFFF"/>
                <w:sz w:val="17"/>
              </w:rPr>
              <w:t>Missing count</w:t>
            </w:r>
          </w:p>
        </w:tc>
        <w:tc>
          <w:tcPr>
            <w:tcW w:type="dxa" w:w="1440"/>
            <w:vAlign w:val="center"/>
            <w:shd w:fill="16324F"/>
          </w:tcPr>
          <w:p>
            <w:pPr>
              <w:spacing w:after="0" w:before="0"/>
            </w:pPr>
            <w:r/>
            <w:r>
              <w:rPr>
                <w:rFonts w:ascii="Aptos" w:hAnsi="Aptos"/>
                <w:b/>
                <w:color w:val="FFFFFF"/>
                <w:sz w:val="17"/>
              </w:rPr>
              <w:t>Missing %</w:t>
            </w:r>
          </w:p>
        </w:tc>
        <w:tc>
          <w:tcPr>
            <w:tcW w:type="dxa" w:w="4248"/>
            <w:vAlign w:val="center"/>
            <w:shd w:fill="16324F"/>
          </w:tcPr>
          <w:p>
            <w:pPr>
              <w:spacing w:after="0" w:before="0"/>
            </w:pPr>
            <w:r/>
            <w:r>
              <w:rPr>
                <w:rFonts w:ascii="Aptos" w:hAnsi="Aptos"/>
                <w:b/>
                <w:color w:val="FFFFFF"/>
                <w:sz w:val="17"/>
              </w:rPr>
              <w:t>Initial interpretation</w:t>
            </w:r>
          </w:p>
        </w:tc>
      </w:tr>
      <w:tr>
        <w:tc>
          <w:tcPr>
            <w:tcW w:type="dxa" w:w="2232"/>
            <w:vAlign w:val="center"/>
          </w:tcPr>
          <w:p>
            <w:pPr>
              <w:spacing w:after="0" w:before="0"/>
            </w:pPr>
            <w:r/>
            <w:r>
              <w:rPr>
                <w:rFonts w:ascii="Aptos" w:hAnsi="Aptos"/>
                <w:b w:val="0"/>
                <w:sz w:val="17"/>
              </w:rPr>
              <w:t>Product Description</w:t>
            </w:r>
          </w:p>
        </w:tc>
        <w:tc>
          <w:tcPr>
            <w:tcW w:type="dxa" w:w="1656"/>
            <w:vAlign w:val="center"/>
          </w:tcPr>
          <w:p>
            <w:pPr>
              <w:spacing w:after="0" w:before="0"/>
            </w:pPr>
            <w:r/>
            <w:r>
              <w:rPr>
                <w:rFonts w:ascii="Aptos" w:hAnsi="Aptos"/>
                <w:b w:val="0"/>
                <w:sz w:val="17"/>
              </w:rPr>
              <w:t>180,519</w:t>
            </w:r>
          </w:p>
        </w:tc>
        <w:tc>
          <w:tcPr>
            <w:tcW w:type="dxa" w:w="1440"/>
            <w:vAlign w:val="center"/>
          </w:tcPr>
          <w:p>
            <w:pPr>
              <w:spacing w:after="0" w:before="0"/>
            </w:pPr>
            <w:r/>
            <w:r>
              <w:rPr>
                <w:rFonts w:ascii="Aptos" w:hAnsi="Aptos"/>
                <w:b w:val="0"/>
                <w:sz w:val="17"/>
              </w:rPr>
              <w:t>100.0000%</w:t>
            </w:r>
          </w:p>
        </w:tc>
        <w:tc>
          <w:tcPr>
            <w:tcW w:type="dxa" w:w="4248"/>
            <w:vAlign w:val="center"/>
          </w:tcPr>
          <w:p>
            <w:pPr>
              <w:spacing w:after="0" w:before="0"/>
            </w:pPr>
            <w:r/>
            <w:r>
              <w:rPr>
                <w:rFonts w:ascii="Aptos" w:hAnsi="Aptos"/>
                <w:b w:val="0"/>
                <w:sz w:val="17"/>
              </w:rPr>
              <w:t>No observed non-missing values</w:t>
            </w:r>
          </w:p>
        </w:tc>
      </w:tr>
      <w:tr>
        <w:tc>
          <w:tcPr>
            <w:tcW w:type="dxa" w:w="2232"/>
            <w:vAlign w:val="center"/>
            <w:shd w:fill="F4F7FA"/>
          </w:tcPr>
          <w:p>
            <w:pPr>
              <w:spacing w:after="0" w:before="0"/>
            </w:pPr>
            <w:r/>
            <w:r>
              <w:rPr>
                <w:rFonts w:ascii="Aptos" w:hAnsi="Aptos"/>
                <w:b w:val="0"/>
                <w:sz w:val="17"/>
              </w:rPr>
              <w:t>Order Zipcode</w:t>
            </w:r>
          </w:p>
        </w:tc>
        <w:tc>
          <w:tcPr>
            <w:tcW w:type="dxa" w:w="1656"/>
            <w:vAlign w:val="center"/>
            <w:shd w:fill="F4F7FA"/>
          </w:tcPr>
          <w:p>
            <w:pPr>
              <w:spacing w:after="0" w:before="0"/>
            </w:pPr>
            <w:r/>
            <w:r>
              <w:rPr>
                <w:rFonts w:ascii="Aptos" w:hAnsi="Aptos"/>
                <w:b w:val="0"/>
                <w:sz w:val="17"/>
              </w:rPr>
              <w:t>155,679</w:t>
            </w:r>
          </w:p>
        </w:tc>
        <w:tc>
          <w:tcPr>
            <w:tcW w:type="dxa" w:w="1440"/>
            <w:vAlign w:val="center"/>
            <w:shd w:fill="F4F7FA"/>
          </w:tcPr>
          <w:p>
            <w:pPr>
              <w:spacing w:after="0" w:before="0"/>
            </w:pPr>
            <w:r/>
            <w:r>
              <w:rPr>
                <w:rFonts w:ascii="Aptos" w:hAnsi="Aptos"/>
                <w:b w:val="0"/>
                <w:sz w:val="17"/>
              </w:rPr>
              <w:t>86.2397%</w:t>
            </w:r>
          </w:p>
        </w:tc>
        <w:tc>
          <w:tcPr>
            <w:tcW w:type="dxa" w:w="4248"/>
            <w:vAlign w:val="center"/>
            <w:shd w:fill="F4F7FA"/>
          </w:tcPr>
          <w:p>
            <w:pPr>
              <w:spacing w:after="0" w:before="0"/>
            </w:pPr>
            <w:r/>
            <w:r>
              <w:rPr>
                <w:rFonts w:ascii="Aptos" w:hAnsi="Aptos"/>
                <w:b w:val="0"/>
                <w:sz w:val="17"/>
              </w:rPr>
              <w:t>Most values unavailable</w:t>
            </w:r>
          </w:p>
        </w:tc>
      </w:tr>
      <w:tr>
        <w:tc>
          <w:tcPr>
            <w:tcW w:type="dxa" w:w="2232"/>
            <w:vAlign w:val="center"/>
          </w:tcPr>
          <w:p>
            <w:pPr>
              <w:spacing w:after="0" w:before="0"/>
            </w:pPr>
            <w:r/>
            <w:r>
              <w:rPr>
                <w:rFonts w:ascii="Aptos" w:hAnsi="Aptos"/>
                <w:b w:val="0"/>
                <w:sz w:val="17"/>
              </w:rPr>
              <w:t>Customer Lname</w:t>
            </w:r>
          </w:p>
        </w:tc>
        <w:tc>
          <w:tcPr>
            <w:tcW w:type="dxa" w:w="1656"/>
            <w:vAlign w:val="center"/>
          </w:tcPr>
          <w:p>
            <w:pPr>
              <w:spacing w:after="0" w:before="0"/>
            </w:pPr>
            <w:r/>
            <w:r>
              <w:rPr>
                <w:rFonts w:ascii="Aptos" w:hAnsi="Aptos"/>
                <w:b w:val="0"/>
                <w:sz w:val="17"/>
              </w:rPr>
              <w:t>8</w:t>
            </w:r>
          </w:p>
        </w:tc>
        <w:tc>
          <w:tcPr>
            <w:tcW w:type="dxa" w:w="1440"/>
            <w:vAlign w:val="center"/>
          </w:tcPr>
          <w:p>
            <w:pPr>
              <w:spacing w:after="0" w:before="0"/>
            </w:pPr>
            <w:r/>
            <w:r>
              <w:rPr>
                <w:rFonts w:ascii="Aptos" w:hAnsi="Aptos"/>
                <w:b w:val="0"/>
                <w:sz w:val="17"/>
              </w:rPr>
              <w:t>0.0044%</w:t>
            </w:r>
          </w:p>
        </w:tc>
        <w:tc>
          <w:tcPr>
            <w:tcW w:type="dxa" w:w="4248"/>
            <w:vAlign w:val="center"/>
          </w:tcPr>
          <w:p>
            <w:pPr>
              <w:spacing w:after="0" w:before="0"/>
            </w:pPr>
            <w:r/>
            <w:r>
              <w:rPr>
                <w:rFonts w:ascii="Aptos" w:hAnsi="Aptos"/>
                <w:b w:val="0"/>
                <w:sz w:val="17"/>
              </w:rPr>
              <w:t>Direct identifier, not required</w:t>
            </w:r>
          </w:p>
        </w:tc>
      </w:tr>
      <w:tr>
        <w:tc>
          <w:tcPr>
            <w:tcW w:type="dxa" w:w="2232"/>
            <w:vAlign w:val="center"/>
            <w:shd w:fill="F4F7FA"/>
          </w:tcPr>
          <w:p>
            <w:pPr>
              <w:spacing w:after="0" w:before="0"/>
            </w:pPr>
            <w:r/>
            <w:r>
              <w:rPr>
                <w:rFonts w:ascii="Aptos" w:hAnsi="Aptos"/>
                <w:b w:val="0"/>
                <w:sz w:val="17"/>
              </w:rPr>
              <w:t>Customer Zipcode</w:t>
            </w:r>
          </w:p>
        </w:tc>
        <w:tc>
          <w:tcPr>
            <w:tcW w:type="dxa" w:w="1656"/>
            <w:vAlign w:val="center"/>
            <w:shd w:fill="F4F7FA"/>
          </w:tcPr>
          <w:p>
            <w:pPr>
              <w:spacing w:after="0" w:before="0"/>
            </w:pPr>
            <w:r/>
            <w:r>
              <w:rPr>
                <w:rFonts w:ascii="Aptos" w:hAnsi="Aptos"/>
                <w:b w:val="0"/>
                <w:sz w:val="17"/>
              </w:rPr>
              <w:t>3</w:t>
            </w:r>
          </w:p>
        </w:tc>
        <w:tc>
          <w:tcPr>
            <w:tcW w:type="dxa" w:w="1440"/>
            <w:vAlign w:val="center"/>
            <w:shd w:fill="F4F7FA"/>
          </w:tcPr>
          <w:p>
            <w:pPr>
              <w:spacing w:after="0" w:before="0"/>
            </w:pPr>
            <w:r/>
            <w:r>
              <w:rPr>
                <w:rFonts w:ascii="Aptos" w:hAnsi="Aptos"/>
                <w:b w:val="0"/>
                <w:sz w:val="17"/>
              </w:rPr>
              <w:t>0.0017%</w:t>
            </w:r>
          </w:p>
        </w:tc>
        <w:tc>
          <w:tcPr>
            <w:tcW w:type="dxa" w:w="4248"/>
            <w:vAlign w:val="center"/>
            <w:shd w:fill="F4F7FA"/>
          </w:tcPr>
          <w:p>
            <w:pPr>
              <w:spacing w:after="0" w:before="0"/>
            </w:pPr>
            <w:r/>
            <w:r>
              <w:rPr>
                <w:rFonts w:ascii="Aptos" w:hAnsi="Aptos"/>
                <w:b w:val="0"/>
                <w:sz w:val="17"/>
              </w:rPr>
              <w:t>Fine-grained location field, not required</w:t>
            </w:r>
          </w:p>
        </w:tc>
      </w:tr>
    </w:tbl>
    <w:p>
      <w:pPr>
        <w:spacing w:after="20"/>
      </w:pPr>
    </w:p>
    <w:p>
      <w:r>
        <w:drawing>
          <wp:inline xmlns:a="http://schemas.openxmlformats.org/drawingml/2006/main" xmlns:pic="http://schemas.openxmlformats.org/drawingml/2006/picture">
            <wp:extent cx="6035040" cy="2186512"/>
            <wp:docPr id="1" name="Picture 1"/>
            <wp:cNvGraphicFramePr>
              <a:graphicFrameLocks noChangeAspect="1"/>
            </wp:cNvGraphicFramePr>
            <a:graphic>
              <a:graphicData uri="http://schemas.openxmlformats.org/drawingml/2006/picture">
                <pic:pic>
                  <pic:nvPicPr>
                    <pic:cNvPr id="0" name="fig1_missingness.png"/>
                    <pic:cNvPicPr/>
                  </pic:nvPicPr>
                  <pic:blipFill>
                    <a:blip r:embed="rId11"/>
                    <a:stretch>
                      <a:fillRect/>
                    </a:stretch>
                  </pic:blipFill>
                  <pic:spPr>
                    <a:xfrm>
                      <a:off x="0" y="0"/>
                      <a:ext cx="6035040" cy="2186512"/>
                    </a:xfrm>
                    <a:prstGeom prst="rect"/>
                  </pic:spPr>
                </pic:pic>
              </a:graphicData>
            </a:graphic>
          </wp:inline>
        </w:drawing>
      </w:r>
    </w:p>
    <w:p>
      <w:pPr>
        <w:spacing w:before="40" w:after="160"/>
        <w:jc w:val="center"/>
      </w:pPr>
      <w:r>
        <w:rPr>
          <w:i/>
          <w:color w:val="5C6770"/>
          <w:sz w:val="17"/>
        </w:rPr>
        <w:t>Figure 1. Missing-value profile before cleaning. Separate scales are used so very small percentages remain visible.</w:t>
      </w:r>
    </w:p>
    <w:p>
      <w:pPr>
        <w:spacing w:after="100" w:before="0"/>
      </w:pPr>
      <w:r>
        <w:rPr>
          <w:rFonts w:ascii="Aptos" w:hAnsi="Aptos"/>
          <w:i w:val="0"/>
          <w:sz w:val="20"/>
        </w:rPr>
        <w:t>The counts sum to 336,209 missing cells: 180,519 + 155,679 + 8 + 3 = 336,209. The low missingness percentages for the last name and customer ZIP fields round to 0.00% at two decimal places; the more precise values are shown in the figure and table.</w:t>
      </w:r>
    </w:p>
    <w:p>
      <w:pPr>
        <w:pStyle w:val="Heading2"/>
        <w:keepNext/>
      </w:pPr>
      <w:r>
        <w:rPr>
          <w:rFonts w:ascii="Aptos" w:hAnsi="Aptos"/>
          <w:b/>
          <w:color w:val="007C91"/>
          <w:sz w:val="25"/>
        </w:rPr>
        <w:t>2.1 Why profile before cleaning?</w:t>
      </w:r>
    </w:p>
    <w:p>
      <w:pPr>
        <w:spacing w:after="100" w:before="0"/>
      </w:pPr>
      <w:r>
        <w:rPr>
          <w:rFonts w:ascii="Aptos" w:hAnsi="Aptos"/>
          <w:i w:val="0"/>
          <w:sz w:val="20"/>
        </w:rPr>
        <w:t>Profiling before modifying a dataset prevents accidental loss of evidence. In pandas, isna().sum() counts missing entries by column and duplicated().sum() counts exact duplicate rows. These checks help distinguish column-level missingness from incomplete records. Pandas documentation describes multiple missing-value sentinels and the use of dropna() and fillna() for different handling choices [2].</w:t>
      </w:r>
    </w:p>
    <w:p>
      <w:pPr>
        <w:pStyle w:val="Heading1"/>
        <w:keepNext/>
      </w:pPr>
      <w:r>
        <w:rPr>
          <w:rFonts w:ascii="Aptos" w:hAnsi="Aptos"/>
          <w:b/>
          <w:color w:val="16324F"/>
          <w:sz w:val="32"/>
        </w:rPr>
        <w:t>3. Cleaning Methodology and Decisions</w:t>
      </w:r>
    </w:p>
    <w:p>
      <w:pPr>
        <w:spacing w:after="100" w:before="0"/>
      </w:pPr>
      <w:r>
        <w:rPr>
          <w:rFonts w:ascii="Aptos" w:hAnsi="Aptos"/>
          <w:i w:val="0"/>
          <w:sz w:val="20"/>
        </w:rPr>
        <w:t>The cleaning rules were based on analytical relevance, missingness, privacy/data minimisation, and basic validity checks. The purpose was not to make the table look smaller at any cost; it was to retain complete fields needed for this particular analysis without discarding valid shipment records.</w:t>
      </w:r>
    </w:p>
    <w:tbl>
      <w:tblPr>
        <w:tblStyle w:val="TableGrid"/>
        <w:tblW w:type="auto" w:w="0"/>
        <w:jc w:val="center"/>
        <w:tblLook w:firstColumn="1" w:firstRow="1" w:lastColumn="0" w:lastRow="0" w:noHBand="0" w:noVBand="1" w:val="04A0"/>
      </w:tblPr>
      <w:tblGrid>
        <w:gridCol w:w="2498"/>
        <w:gridCol w:w="2498"/>
        <w:gridCol w:w="2498"/>
        <w:gridCol w:w="2498"/>
      </w:tblGrid>
      <w:tr>
        <w:trPr>
          <w:tblHeader w:val="true"/>
        </w:trPr>
        <w:tc>
          <w:tcPr>
            <w:tcW w:type="dxa" w:w="2304"/>
            <w:vAlign w:val="center"/>
            <w:shd w:fill="16324F"/>
          </w:tcPr>
          <w:p>
            <w:pPr>
              <w:spacing w:after="0" w:before="0"/>
            </w:pPr>
            <w:r/>
            <w:r>
              <w:rPr>
                <w:rFonts w:ascii="Aptos" w:hAnsi="Aptos"/>
                <w:b/>
                <w:color w:val="FFFFFF"/>
                <w:sz w:val="15"/>
              </w:rPr>
              <w:t>Issue / field</w:t>
            </w:r>
          </w:p>
        </w:tc>
        <w:tc>
          <w:tcPr>
            <w:tcW w:type="dxa" w:w="2520"/>
            <w:vAlign w:val="center"/>
            <w:shd w:fill="16324F"/>
          </w:tcPr>
          <w:p>
            <w:pPr>
              <w:spacing w:after="0" w:before="0"/>
            </w:pPr>
            <w:r/>
            <w:r>
              <w:rPr>
                <w:rFonts w:ascii="Aptos" w:hAnsi="Aptos"/>
                <w:b/>
                <w:color w:val="FFFFFF"/>
                <w:sz w:val="15"/>
              </w:rPr>
              <w:t>Evidence</w:t>
            </w:r>
          </w:p>
        </w:tc>
        <w:tc>
          <w:tcPr>
            <w:tcW w:type="dxa" w:w="1512"/>
            <w:vAlign w:val="center"/>
            <w:shd w:fill="16324F"/>
          </w:tcPr>
          <w:p>
            <w:pPr>
              <w:spacing w:after="0" w:before="0"/>
            </w:pPr>
            <w:r/>
            <w:r>
              <w:rPr>
                <w:rFonts w:ascii="Aptos" w:hAnsi="Aptos"/>
                <w:b/>
                <w:color w:val="FFFFFF"/>
                <w:sz w:val="15"/>
              </w:rPr>
              <w:t>Treatment</w:t>
            </w:r>
          </w:p>
        </w:tc>
        <w:tc>
          <w:tcPr>
            <w:tcW w:type="dxa" w:w="3240"/>
            <w:vAlign w:val="center"/>
            <w:shd w:fill="16324F"/>
          </w:tcPr>
          <w:p>
            <w:pPr>
              <w:spacing w:after="0" w:before="0"/>
            </w:pPr>
            <w:r/>
            <w:r>
              <w:rPr>
                <w:rFonts w:ascii="Aptos" w:hAnsi="Aptos"/>
                <w:b/>
                <w:color w:val="FFFFFF"/>
                <w:sz w:val="15"/>
              </w:rPr>
              <w:t>Reason</w:t>
            </w:r>
          </w:p>
        </w:tc>
      </w:tr>
      <w:tr>
        <w:tc>
          <w:tcPr>
            <w:tcW w:type="dxa" w:w="2304"/>
            <w:vAlign w:val="center"/>
          </w:tcPr>
          <w:p>
            <w:pPr>
              <w:spacing w:after="0" w:before="0"/>
            </w:pPr>
            <w:r/>
            <w:r>
              <w:rPr>
                <w:rFonts w:ascii="Aptos" w:hAnsi="Aptos"/>
                <w:b w:val="0"/>
                <w:sz w:val="15"/>
              </w:rPr>
              <w:t>Product Description</w:t>
            </w:r>
          </w:p>
        </w:tc>
        <w:tc>
          <w:tcPr>
            <w:tcW w:type="dxa" w:w="2520"/>
            <w:vAlign w:val="center"/>
          </w:tcPr>
          <w:p>
            <w:pPr>
              <w:spacing w:after="0" w:before="0"/>
            </w:pPr>
            <w:r/>
            <w:r>
              <w:rPr>
                <w:rFonts w:ascii="Aptos" w:hAnsi="Aptos"/>
                <w:b w:val="0"/>
                <w:sz w:val="15"/>
              </w:rPr>
              <w:t>100% missing; unusable for this analysis</w:t>
            </w:r>
          </w:p>
        </w:tc>
        <w:tc>
          <w:tcPr>
            <w:tcW w:type="dxa" w:w="1512"/>
            <w:vAlign w:val="center"/>
          </w:tcPr>
          <w:p>
            <w:pPr>
              <w:spacing w:after="0" w:before="0"/>
            </w:pPr>
            <w:r/>
            <w:r>
              <w:rPr>
                <w:rFonts w:ascii="Aptos" w:hAnsi="Aptos"/>
                <w:b w:val="0"/>
                <w:sz w:val="15"/>
              </w:rPr>
              <w:t>Drop column</w:t>
            </w:r>
          </w:p>
        </w:tc>
        <w:tc>
          <w:tcPr>
            <w:tcW w:type="dxa" w:w="3240"/>
            <w:vAlign w:val="center"/>
          </w:tcPr>
          <w:p>
            <w:pPr>
              <w:spacing w:after="0" w:before="0"/>
            </w:pPr>
            <w:r/>
            <w:r>
              <w:rPr>
                <w:rFonts w:ascii="Aptos" w:hAnsi="Aptos"/>
                <w:b w:val="0"/>
                <w:sz w:val="15"/>
              </w:rPr>
              <w:t>No information can be recovered from this column as supplied.</w:t>
            </w:r>
          </w:p>
        </w:tc>
      </w:tr>
      <w:tr>
        <w:tc>
          <w:tcPr>
            <w:tcW w:type="dxa" w:w="2304"/>
            <w:vAlign w:val="center"/>
            <w:shd w:fill="F4F7FA"/>
          </w:tcPr>
          <w:p>
            <w:pPr>
              <w:spacing w:after="0" w:before="0"/>
            </w:pPr>
            <w:r/>
            <w:r>
              <w:rPr>
                <w:rFonts w:ascii="Aptos" w:hAnsi="Aptos"/>
                <w:b w:val="0"/>
                <w:sz w:val="15"/>
              </w:rPr>
              <w:t>Order Zipcode</w:t>
            </w:r>
          </w:p>
        </w:tc>
        <w:tc>
          <w:tcPr>
            <w:tcW w:type="dxa" w:w="2520"/>
            <w:vAlign w:val="center"/>
            <w:shd w:fill="F4F7FA"/>
          </w:tcPr>
          <w:p>
            <w:pPr>
              <w:spacing w:after="0" w:before="0"/>
            </w:pPr>
            <w:r/>
            <w:r>
              <w:rPr>
                <w:rFonts w:ascii="Aptos" w:hAnsi="Aptos"/>
                <w:b w:val="0"/>
                <w:sz w:val="15"/>
              </w:rPr>
              <w:t>86.24% missing; not used in market/mode analysis</w:t>
            </w:r>
          </w:p>
        </w:tc>
        <w:tc>
          <w:tcPr>
            <w:tcW w:type="dxa" w:w="1512"/>
            <w:vAlign w:val="center"/>
            <w:shd w:fill="F4F7FA"/>
          </w:tcPr>
          <w:p>
            <w:pPr>
              <w:spacing w:after="0" w:before="0"/>
            </w:pPr>
            <w:r/>
            <w:r>
              <w:rPr>
                <w:rFonts w:ascii="Aptos" w:hAnsi="Aptos"/>
                <w:b w:val="0"/>
                <w:sz w:val="15"/>
              </w:rPr>
              <w:t>Drop column</w:t>
            </w:r>
          </w:p>
        </w:tc>
        <w:tc>
          <w:tcPr>
            <w:tcW w:type="dxa" w:w="3240"/>
            <w:vAlign w:val="center"/>
            <w:shd w:fill="F4F7FA"/>
          </w:tcPr>
          <w:p>
            <w:pPr>
              <w:spacing w:after="0" w:before="0"/>
            </w:pPr>
            <w:r/>
            <w:r>
              <w:rPr>
                <w:rFonts w:ascii="Aptos" w:hAnsi="Aptos"/>
                <w:b w:val="0"/>
                <w:sz w:val="15"/>
              </w:rPr>
              <w:t>High missingness and low relevance to the selected analysis.</w:t>
            </w:r>
          </w:p>
        </w:tc>
      </w:tr>
      <w:tr>
        <w:tc>
          <w:tcPr>
            <w:tcW w:type="dxa" w:w="2304"/>
            <w:vAlign w:val="center"/>
          </w:tcPr>
          <w:p>
            <w:pPr>
              <w:spacing w:after="0" w:before="0"/>
            </w:pPr>
            <w:r/>
            <w:r>
              <w:rPr>
                <w:rFonts w:ascii="Aptos" w:hAnsi="Aptos"/>
                <w:b w:val="0"/>
                <w:sz w:val="15"/>
              </w:rPr>
              <w:t>Customer Email</w:t>
            </w:r>
          </w:p>
        </w:tc>
        <w:tc>
          <w:tcPr>
            <w:tcW w:type="dxa" w:w="2520"/>
            <w:vAlign w:val="center"/>
          </w:tcPr>
          <w:p>
            <w:pPr>
              <w:spacing w:after="0" w:before="0"/>
            </w:pPr>
            <w:r/>
            <w:r>
              <w:rPr>
                <w:rFonts w:ascii="Aptos" w:hAnsi="Aptos"/>
                <w:b w:val="0"/>
                <w:sz w:val="15"/>
              </w:rPr>
              <w:t>No missing values; direct identifier</w:t>
            </w:r>
          </w:p>
        </w:tc>
        <w:tc>
          <w:tcPr>
            <w:tcW w:type="dxa" w:w="1512"/>
            <w:vAlign w:val="center"/>
          </w:tcPr>
          <w:p>
            <w:pPr>
              <w:spacing w:after="0" w:before="0"/>
            </w:pPr>
            <w:r/>
            <w:r>
              <w:rPr>
                <w:rFonts w:ascii="Aptos" w:hAnsi="Aptos"/>
                <w:b w:val="0"/>
                <w:sz w:val="15"/>
              </w:rPr>
              <w:t>Drop column</w:t>
            </w:r>
          </w:p>
        </w:tc>
        <w:tc>
          <w:tcPr>
            <w:tcW w:type="dxa" w:w="3240"/>
            <w:vAlign w:val="center"/>
          </w:tcPr>
          <w:p>
            <w:pPr>
              <w:spacing w:after="0" w:before="0"/>
            </w:pPr>
            <w:r/>
            <w:r>
              <w:rPr>
                <w:rFonts w:ascii="Aptos" w:hAnsi="Aptos"/>
                <w:b w:val="0"/>
                <w:sz w:val="15"/>
              </w:rPr>
              <w:t>Not needed for KPI/preprocessing task; data minimisation.</w:t>
            </w:r>
          </w:p>
        </w:tc>
      </w:tr>
      <w:tr>
        <w:tc>
          <w:tcPr>
            <w:tcW w:type="dxa" w:w="2304"/>
            <w:vAlign w:val="center"/>
            <w:shd w:fill="F4F7FA"/>
          </w:tcPr>
          <w:p>
            <w:pPr>
              <w:spacing w:after="0" w:before="0"/>
            </w:pPr>
            <w:r/>
            <w:r>
              <w:rPr>
                <w:rFonts w:ascii="Aptos" w:hAnsi="Aptos"/>
                <w:b w:val="0"/>
                <w:sz w:val="15"/>
              </w:rPr>
              <w:t>Customer Password</w:t>
            </w:r>
          </w:p>
        </w:tc>
        <w:tc>
          <w:tcPr>
            <w:tcW w:type="dxa" w:w="2520"/>
            <w:vAlign w:val="center"/>
            <w:shd w:fill="F4F7FA"/>
          </w:tcPr>
          <w:p>
            <w:pPr>
              <w:spacing w:after="0" w:before="0"/>
            </w:pPr>
            <w:r/>
            <w:r>
              <w:rPr>
                <w:rFonts w:ascii="Aptos" w:hAnsi="Aptos"/>
                <w:b w:val="0"/>
                <w:sz w:val="15"/>
              </w:rPr>
              <w:t>No missing values; credential-like field</w:t>
            </w:r>
          </w:p>
        </w:tc>
        <w:tc>
          <w:tcPr>
            <w:tcW w:type="dxa" w:w="1512"/>
            <w:vAlign w:val="center"/>
            <w:shd w:fill="F4F7FA"/>
          </w:tcPr>
          <w:p>
            <w:pPr>
              <w:spacing w:after="0" w:before="0"/>
            </w:pPr>
            <w:r/>
            <w:r>
              <w:rPr>
                <w:rFonts w:ascii="Aptos" w:hAnsi="Aptos"/>
                <w:b w:val="0"/>
                <w:sz w:val="15"/>
              </w:rPr>
              <w:t>Drop column</w:t>
            </w:r>
          </w:p>
        </w:tc>
        <w:tc>
          <w:tcPr>
            <w:tcW w:type="dxa" w:w="3240"/>
            <w:vAlign w:val="center"/>
            <w:shd w:fill="F4F7FA"/>
          </w:tcPr>
          <w:p>
            <w:pPr>
              <w:spacing w:after="0" w:before="0"/>
            </w:pPr>
            <w:r/>
            <w:r>
              <w:rPr>
                <w:rFonts w:ascii="Aptos" w:hAnsi="Aptos"/>
                <w:b w:val="0"/>
                <w:sz w:val="15"/>
              </w:rPr>
              <w:t>Sensitive field; must not be used or redistributed for analysis.</w:t>
            </w:r>
          </w:p>
        </w:tc>
      </w:tr>
      <w:tr>
        <w:tc>
          <w:tcPr>
            <w:tcW w:type="dxa" w:w="2304"/>
            <w:vAlign w:val="center"/>
          </w:tcPr>
          <w:p>
            <w:pPr>
              <w:spacing w:after="0" w:before="0"/>
            </w:pPr>
            <w:r/>
            <w:r>
              <w:rPr>
                <w:rFonts w:ascii="Aptos" w:hAnsi="Aptos"/>
                <w:b w:val="0"/>
                <w:sz w:val="15"/>
              </w:rPr>
              <w:t>Customer Fname / Customer Lname</w:t>
            </w:r>
          </w:p>
        </w:tc>
        <w:tc>
          <w:tcPr>
            <w:tcW w:type="dxa" w:w="2520"/>
            <w:vAlign w:val="center"/>
          </w:tcPr>
          <w:p>
            <w:pPr>
              <w:spacing w:after="0" w:before="0"/>
            </w:pPr>
            <w:r/>
            <w:r>
              <w:rPr>
                <w:rFonts w:ascii="Aptos" w:hAnsi="Aptos"/>
                <w:b w:val="0"/>
                <w:sz w:val="15"/>
              </w:rPr>
              <w:t>Direct personal identifiers; last name has 8 missing values</w:t>
            </w:r>
          </w:p>
        </w:tc>
        <w:tc>
          <w:tcPr>
            <w:tcW w:type="dxa" w:w="1512"/>
            <w:vAlign w:val="center"/>
          </w:tcPr>
          <w:p>
            <w:pPr>
              <w:spacing w:after="0" w:before="0"/>
            </w:pPr>
            <w:r/>
            <w:r>
              <w:rPr>
                <w:rFonts w:ascii="Aptos" w:hAnsi="Aptos"/>
                <w:b w:val="0"/>
                <w:sz w:val="15"/>
              </w:rPr>
              <w:t>Drop both columns</w:t>
            </w:r>
          </w:p>
        </w:tc>
        <w:tc>
          <w:tcPr>
            <w:tcW w:type="dxa" w:w="3240"/>
            <w:vAlign w:val="center"/>
          </w:tcPr>
          <w:p>
            <w:pPr>
              <w:spacing w:after="0" w:before="0"/>
            </w:pPr>
            <w:r/>
            <w:r>
              <w:rPr>
                <w:rFonts w:ascii="Aptos" w:hAnsi="Aptos"/>
                <w:b w:val="0"/>
                <w:sz w:val="15"/>
              </w:rPr>
              <w:t>Not required for logistics cleaning objective.</w:t>
            </w:r>
          </w:p>
        </w:tc>
      </w:tr>
      <w:tr>
        <w:tc>
          <w:tcPr>
            <w:tcW w:type="dxa" w:w="2304"/>
            <w:vAlign w:val="center"/>
            <w:shd w:fill="F4F7FA"/>
          </w:tcPr>
          <w:p>
            <w:pPr>
              <w:spacing w:after="0" w:before="0"/>
            </w:pPr>
            <w:r/>
            <w:r>
              <w:rPr>
                <w:rFonts w:ascii="Aptos" w:hAnsi="Aptos"/>
                <w:b w:val="0"/>
                <w:sz w:val="15"/>
              </w:rPr>
              <w:t>Customer Street / Customer Zipcode</w:t>
            </w:r>
          </w:p>
        </w:tc>
        <w:tc>
          <w:tcPr>
            <w:tcW w:type="dxa" w:w="2520"/>
            <w:vAlign w:val="center"/>
            <w:shd w:fill="F4F7FA"/>
          </w:tcPr>
          <w:p>
            <w:pPr>
              <w:spacing w:after="0" w:before="0"/>
            </w:pPr>
            <w:r/>
            <w:r>
              <w:rPr>
                <w:rFonts w:ascii="Aptos" w:hAnsi="Aptos"/>
                <w:b w:val="0"/>
                <w:sz w:val="15"/>
              </w:rPr>
              <w:t>Detailed personal location fields; 3 ZIP values missing</w:t>
            </w:r>
          </w:p>
        </w:tc>
        <w:tc>
          <w:tcPr>
            <w:tcW w:type="dxa" w:w="1512"/>
            <w:vAlign w:val="center"/>
            <w:shd w:fill="F4F7FA"/>
          </w:tcPr>
          <w:p>
            <w:pPr>
              <w:spacing w:after="0" w:before="0"/>
            </w:pPr>
            <w:r/>
            <w:r>
              <w:rPr>
                <w:rFonts w:ascii="Aptos" w:hAnsi="Aptos"/>
                <w:b w:val="0"/>
                <w:sz w:val="15"/>
              </w:rPr>
              <w:t>Drop both columns</w:t>
            </w:r>
          </w:p>
        </w:tc>
        <w:tc>
          <w:tcPr>
            <w:tcW w:type="dxa" w:w="3240"/>
            <w:vAlign w:val="center"/>
            <w:shd w:fill="F4F7FA"/>
          </w:tcPr>
          <w:p>
            <w:pPr>
              <w:spacing w:after="0" w:before="0"/>
            </w:pPr>
            <w:r/>
            <w:r>
              <w:rPr>
                <w:rFonts w:ascii="Aptos" w:hAnsi="Aptos"/>
                <w:b w:val="0"/>
                <w:sz w:val="15"/>
              </w:rPr>
              <w:t>Not needed for the selected analysis; avoids unnecessary location identifiers.</w:t>
            </w:r>
          </w:p>
        </w:tc>
      </w:tr>
      <w:tr>
        <w:tc>
          <w:tcPr>
            <w:tcW w:type="dxa" w:w="2304"/>
            <w:vAlign w:val="center"/>
          </w:tcPr>
          <w:p>
            <w:pPr>
              <w:spacing w:after="0" w:before="0"/>
            </w:pPr>
            <w:r/>
            <w:r>
              <w:rPr>
                <w:rFonts w:ascii="Aptos" w:hAnsi="Aptos"/>
                <w:b w:val="0"/>
                <w:sz w:val="15"/>
              </w:rPr>
              <w:t>Exact duplicate rows</w:t>
            </w:r>
          </w:p>
        </w:tc>
        <w:tc>
          <w:tcPr>
            <w:tcW w:type="dxa" w:w="2520"/>
            <w:vAlign w:val="center"/>
          </w:tcPr>
          <w:p>
            <w:pPr>
              <w:spacing w:after="0" w:before="0"/>
            </w:pPr>
            <w:r/>
            <w:r>
              <w:rPr>
                <w:rFonts w:ascii="Aptos" w:hAnsi="Aptos"/>
                <w:b w:val="0"/>
                <w:sz w:val="15"/>
              </w:rPr>
              <w:t>0 found</w:t>
            </w:r>
          </w:p>
        </w:tc>
        <w:tc>
          <w:tcPr>
            <w:tcW w:type="dxa" w:w="1512"/>
            <w:vAlign w:val="center"/>
          </w:tcPr>
          <w:p>
            <w:pPr>
              <w:spacing w:after="0" w:before="0"/>
            </w:pPr>
            <w:r/>
            <w:r>
              <w:rPr>
                <w:rFonts w:ascii="Aptos" w:hAnsi="Aptos"/>
                <w:b w:val="0"/>
                <w:sz w:val="15"/>
              </w:rPr>
              <w:t>No removal</w:t>
            </w:r>
          </w:p>
        </w:tc>
        <w:tc>
          <w:tcPr>
            <w:tcW w:type="dxa" w:w="3240"/>
            <w:vAlign w:val="center"/>
          </w:tcPr>
          <w:p>
            <w:pPr>
              <w:spacing w:after="0" w:before="0"/>
            </w:pPr>
            <w:r/>
            <w:r>
              <w:rPr>
                <w:rFonts w:ascii="Aptos" w:hAnsi="Aptos"/>
                <w:b w:val="0"/>
                <w:sz w:val="15"/>
              </w:rPr>
              <w:t>Repeated order identifiers can represent multiple legitimate line items.</w:t>
            </w:r>
          </w:p>
        </w:tc>
      </w:tr>
      <w:tr>
        <w:tc>
          <w:tcPr>
            <w:tcW w:type="dxa" w:w="2304"/>
            <w:vAlign w:val="center"/>
            <w:shd w:fill="F4F7FA"/>
          </w:tcPr>
          <w:p>
            <w:pPr>
              <w:spacing w:after="0" w:before="0"/>
            </w:pPr>
            <w:r/>
            <w:r>
              <w:rPr>
                <w:rFonts w:ascii="Aptos" w:hAnsi="Aptos"/>
                <w:b w:val="0"/>
                <w:sz w:val="15"/>
              </w:rPr>
              <w:t>Required analytical fields</w:t>
            </w:r>
          </w:p>
        </w:tc>
        <w:tc>
          <w:tcPr>
            <w:tcW w:type="dxa" w:w="2520"/>
            <w:vAlign w:val="center"/>
            <w:shd w:fill="F4F7FA"/>
          </w:tcPr>
          <w:p>
            <w:pPr>
              <w:spacing w:after="0" w:before="0"/>
            </w:pPr>
            <w:r/>
            <w:r>
              <w:rPr>
                <w:rFonts w:ascii="Aptos" w:hAnsi="Aptos"/>
                <w:b w:val="0"/>
                <w:sz w:val="15"/>
              </w:rPr>
              <w:t>0 rows missing at least one required field</w:t>
            </w:r>
          </w:p>
        </w:tc>
        <w:tc>
          <w:tcPr>
            <w:tcW w:type="dxa" w:w="1512"/>
            <w:vAlign w:val="center"/>
            <w:shd w:fill="F4F7FA"/>
          </w:tcPr>
          <w:p>
            <w:pPr>
              <w:spacing w:after="0" w:before="0"/>
            </w:pPr>
            <w:r/>
            <w:r>
              <w:rPr>
                <w:rFonts w:ascii="Aptos" w:hAnsi="Aptos"/>
                <w:b w:val="0"/>
                <w:sz w:val="15"/>
              </w:rPr>
              <w:t>No row removal</w:t>
            </w:r>
          </w:p>
        </w:tc>
        <w:tc>
          <w:tcPr>
            <w:tcW w:type="dxa" w:w="3240"/>
            <w:vAlign w:val="center"/>
            <w:shd w:fill="F4F7FA"/>
          </w:tcPr>
          <w:p>
            <w:pPr>
              <w:spacing w:after="0" w:before="0"/>
            </w:pPr>
            <w:r/>
            <w:r>
              <w:rPr>
                <w:rFonts w:ascii="Aptos" w:hAnsi="Aptos"/>
                <w:b w:val="0"/>
                <w:sz w:val="15"/>
              </w:rPr>
              <w:t>No missing value required dropping an observation.</w:t>
            </w:r>
          </w:p>
        </w:tc>
      </w:tr>
      <w:tr>
        <w:tc>
          <w:tcPr>
            <w:tcW w:type="dxa" w:w="2304"/>
            <w:vAlign w:val="center"/>
          </w:tcPr>
          <w:p>
            <w:pPr>
              <w:spacing w:after="0" w:before="0"/>
            </w:pPr>
            <w:r/>
            <w:r>
              <w:rPr>
                <w:rFonts w:ascii="Aptos" w:hAnsi="Aptos"/>
                <w:b w:val="0"/>
                <w:sz w:val="15"/>
              </w:rPr>
              <w:t>Negative shipping duration</w:t>
            </w:r>
          </w:p>
        </w:tc>
        <w:tc>
          <w:tcPr>
            <w:tcW w:type="dxa" w:w="2520"/>
            <w:vAlign w:val="center"/>
          </w:tcPr>
          <w:p>
            <w:pPr>
              <w:spacing w:after="0" w:before="0"/>
            </w:pPr>
            <w:r/>
            <w:r>
              <w:rPr>
                <w:rFonts w:ascii="Aptos" w:hAnsi="Aptos"/>
                <w:b w:val="0"/>
                <w:sz w:val="15"/>
              </w:rPr>
              <w:t>0 rows flagged</w:t>
            </w:r>
          </w:p>
        </w:tc>
        <w:tc>
          <w:tcPr>
            <w:tcW w:type="dxa" w:w="1512"/>
            <w:vAlign w:val="center"/>
          </w:tcPr>
          <w:p>
            <w:pPr>
              <w:spacing w:after="0" w:before="0"/>
            </w:pPr>
            <w:r/>
            <w:r>
              <w:rPr>
                <w:rFonts w:ascii="Aptos" w:hAnsi="Aptos"/>
                <w:b w:val="0"/>
                <w:sz w:val="15"/>
              </w:rPr>
              <w:t>No row removal</w:t>
            </w:r>
          </w:p>
        </w:tc>
        <w:tc>
          <w:tcPr>
            <w:tcW w:type="dxa" w:w="3240"/>
            <w:vAlign w:val="center"/>
          </w:tcPr>
          <w:p>
            <w:pPr>
              <w:spacing w:after="0" w:before="0"/>
            </w:pPr>
            <w:r/>
            <w:r>
              <w:rPr>
                <w:rFonts w:ascii="Aptos" w:hAnsi="Aptos"/>
                <w:b w:val="0"/>
                <w:sz w:val="15"/>
              </w:rPr>
              <w:t>No impossible negative actual/scheduled shipping-day values were found.</w:t>
            </w:r>
          </w:p>
        </w:tc>
      </w:tr>
    </w:tbl>
    <w:p>
      <w:pPr>
        <w:spacing w:after="20"/>
      </w:pPr>
    </w:p>
    <w:p>
      <w:pPr>
        <w:pStyle w:val="Heading2"/>
        <w:keepNext/>
      </w:pPr>
      <w:r>
        <w:rPr>
          <w:rFonts w:ascii="Aptos" w:hAnsi="Aptos"/>
          <w:b/>
          <w:color w:val="007C91"/>
          <w:sz w:val="25"/>
        </w:rPr>
        <w:t>3.1 Type standardisation and feature engineering</w:t>
      </w:r>
    </w:p>
    <w:p>
      <w:pPr>
        <w:spacing w:after="100" w:before="0"/>
      </w:pPr>
      <w:r>
        <w:rPr>
          <w:rFonts w:ascii="Aptos" w:hAnsi="Aptos"/>
          <w:i w:val="0"/>
          <w:sz w:val="20"/>
        </w:rPr>
        <w:t>Date fields (order date (DateOrders) and shipping date (DateOrders)) were converted using pandas datetime parsing. Numeric columns used for shipment duration, price, sales and profit were converted to numeric types with invalid parses configured to become missing values, so they could be identified in the quality checks. Selected categorical fields were cast to string type, trimmed of surrounding whitespace and empty strings were converted to missing values.</w:t>
      </w:r>
    </w:p>
    <w:p>
      <w:pPr>
        <w:spacing w:after="100" w:before="0"/>
      </w:pPr>
      <w:r>
        <w:rPr>
          <w:rFonts w:ascii="Aptos" w:hAnsi="Aptos"/>
          <w:i w:val="0"/>
          <w:sz w:val="20"/>
        </w:rPr>
        <w:t>One derived feature was created: Shipping Delay Days = Days for shipping (real) - Days for shipment (scheduled). It retains the sign of schedule variance: negative values indicate shipment earlier than the scheduled duration, zero indicates equal duration, and positive values indicate shipment duration beyond schedule. This feature is useful for analysis, but because it directly incorporates actual and scheduled shipping duration, it should not automatically be treated as an independent predictor of a status that is itself based on delivery timing.</w:t>
      </w:r>
    </w:p>
    <w:p>
      <w:pPr>
        <w:pStyle w:val="Heading2"/>
        <w:keepNext/>
      </w:pPr>
      <w:r>
        <w:rPr>
          <w:rFonts w:ascii="Aptos" w:hAnsi="Aptos"/>
          <w:b/>
          <w:color w:val="007C91"/>
          <w:sz w:val="25"/>
        </w:rPr>
        <w:t>3.2 Why no mean/median imputation was applied</w:t>
      </w:r>
    </w:p>
    <w:p>
      <w:pPr>
        <w:spacing w:after="100" w:before="0"/>
      </w:pPr>
      <w:r>
        <w:rPr>
          <w:rFonts w:ascii="Aptos" w:hAnsi="Aptos"/>
          <w:i w:val="0"/>
          <w:sz w:val="20"/>
        </w:rPr>
        <w:t>The missing values were located only in fields that were removed for this task. After those exclusions, the retained table had zero missing cells, and no rows had missing values in required analytical fields. Therefore, filling a mean, median or mode would have changed no required field and was not necessary for the observed data. For another dataset—or if a required numeric field became incomplete—median imputation may be an option, but it should be justified from the field distribution and fitted on training data only when building a model.</w:t>
      </w:r>
    </w:p>
    <w:tbl>
      <w:tblPr>
        <w:tblW w:type="auto" w:w="0"/>
        <w:jc w:val="center"/>
        <w:tblLook w:firstColumn="1" w:firstRow="1" w:lastColumn="0" w:lastRow="0" w:noHBand="0" w:noVBand="1" w:val="04A0"/>
      </w:tblPr>
      <w:tblGrid>
        <w:gridCol w:w="9994"/>
      </w:tblGrid>
      <w:tr>
        <w:tc>
          <w:tcPr>
            <w:tcW w:type="dxa" w:w="9994"/>
            <w:shd w:fill="F1F4F7"/>
          </w:tcPr>
          <w:p>
            <w:pPr>
              <w:spacing w:after="0" w:before="0" w:line="240" w:lineRule="auto"/>
            </w:pPr>
            <w:r/>
            <w:r>
              <w:rPr>
                <w:rFonts w:ascii="Consolas" w:hAnsi="Consolas"/>
                <w:color w:val="243746"/>
                <w:sz w:val="15"/>
              </w:rPr>
              <w:t># Missing-value profile</w:t>
            </w:r>
          </w:p>
          <w:p>
            <w:pPr>
              <w:spacing w:after="0" w:before="0" w:line="240" w:lineRule="auto"/>
            </w:pPr>
            <w:r>
              <w:rPr>
                <w:rFonts w:ascii="Consolas" w:hAnsi="Consolas"/>
                <w:color w:val="243746"/>
                <w:sz w:val="15"/>
              </w:rPr>
              <w:t>missing_count = df.isna().sum()</w:t>
            </w:r>
          </w:p>
          <w:p>
            <w:pPr>
              <w:spacing w:after="0" w:before="0" w:line="240" w:lineRule="auto"/>
            </w:pPr>
            <w:r>
              <w:rPr>
                <w:rFonts w:ascii="Consolas" w:hAnsi="Consolas"/>
                <w:color w:val="243746"/>
                <w:sz w:val="15"/>
              </w:rPr>
              <w:t>missing_pct = (missing_count / len(df)) * 100</w:t>
            </w:r>
          </w:p>
          <w:p>
            <w:pPr>
              <w:spacing w:after="0" w:before="0" w:line="240" w:lineRule="auto"/>
            </w:pPr>
            <w:r>
              <w:rPr>
                <w:rFonts w:ascii="Consolas" w:hAnsi="Consolas"/>
                <w:color w:val="243746"/>
                <w:sz w:val="15"/>
              </w:rPr>
              <w:t xml:space="preserve"> </w:t>
            </w:r>
          </w:p>
          <w:p>
            <w:pPr>
              <w:spacing w:after="0" w:before="0" w:line="240" w:lineRule="auto"/>
            </w:pPr>
            <w:r>
              <w:rPr>
                <w:rFonts w:ascii="Consolas" w:hAnsi="Consolas"/>
                <w:color w:val="243746"/>
                <w:sz w:val="15"/>
              </w:rPr>
              <w:t># Exact duplicate check (do not deduplicate by Order Id alone)</w:t>
            </w:r>
          </w:p>
          <w:p>
            <w:pPr>
              <w:spacing w:after="0" w:before="0" w:line="240" w:lineRule="auto"/>
            </w:pPr>
            <w:r>
              <w:rPr>
                <w:rFonts w:ascii="Consolas" w:hAnsi="Consolas"/>
                <w:color w:val="243746"/>
                <w:sz w:val="15"/>
              </w:rPr>
              <w:t>duplicate_rows = int(df.duplicated().sum())</w:t>
            </w:r>
          </w:p>
          <w:p>
            <w:pPr>
              <w:spacing w:after="0" w:before="0" w:line="240" w:lineRule="auto"/>
            </w:pPr>
            <w:r>
              <w:rPr>
                <w:rFonts w:ascii="Consolas" w:hAnsi="Consolas"/>
                <w:color w:val="243746"/>
                <w:sz w:val="15"/>
              </w:rPr>
              <w:t>if duplicate_rows:</w:t>
            </w:r>
          </w:p>
          <w:p>
            <w:pPr>
              <w:spacing w:after="0" w:before="0" w:line="240" w:lineRule="auto"/>
            </w:pPr>
            <w:r>
              <w:rPr>
                <w:rFonts w:ascii="Consolas" w:hAnsi="Consolas"/>
                <w:color w:val="243746"/>
                <w:sz w:val="15"/>
              </w:rPr>
              <w:t xml:space="preserve">    df = df.drop_duplicates()</w:t>
            </w:r>
          </w:p>
          <w:p>
            <w:pPr>
              <w:spacing w:after="0" w:before="0" w:line="240" w:lineRule="auto"/>
            </w:pPr>
            <w:r>
              <w:rPr>
                <w:rFonts w:ascii="Consolas" w:hAnsi="Consolas"/>
                <w:color w:val="243746"/>
                <w:sz w:val="15"/>
              </w:rPr>
              <w:t xml:space="preserve"> </w:t>
            </w:r>
          </w:p>
          <w:p>
            <w:pPr>
              <w:spacing w:after="0" w:before="0" w:line="240" w:lineRule="auto"/>
            </w:pPr>
            <w:r>
              <w:rPr>
                <w:rFonts w:ascii="Consolas" w:hAnsi="Consolas"/>
                <w:color w:val="243746"/>
                <w:sz w:val="15"/>
              </w:rPr>
              <w:t># Remove task-irrelevant / sensitive fields</w:t>
            </w:r>
          </w:p>
          <w:p>
            <w:pPr>
              <w:spacing w:after="0" w:before="0" w:line="240" w:lineRule="auto"/>
            </w:pPr>
            <w:r>
              <w:rPr>
                <w:rFonts w:ascii="Consolas" w:hAnsi="Consolas"/>
                <w:color w:val="243746"/>
                <w:sz w:val="15"/>
              </w:rPr>
              <w:t>columns_to_drop = [</w:t>
            </w:r>
          </w:p>
          <w:p>
            <w:pPr>
              <w:spacing w:after="0" w:before="0" w:line="240" w:lineRule="auto"/>
            </w:pPr>
            <w:r>
              <w:rPr>
                <w:rFonts w:ascii="Consolas" w:hAnsi="Consolas"/>
                <w:color w:val="243746"/>
                <w:sz w:val="15"/>
              </w:rPr>
              <w:t xml:space="preserve">    "Product Description", "Order Zipcode", "Customer Email",</w:t>
            </w:r>
          </w:p>
          <w:p>
            <w:pPr>
              <w:spacing w:after="0" w:before="0" w:line="240" w:lineRule="auto"/>
            </w:pPr>
            <w:r>
              <w:rPr>
                <w:rFonts w:ascii="Consolas" w:hAnsi="Consolas"/>
                <w:color w:val="243746"/>
                <w:sz w:val="15"/>
              </w:rPr>
              <w:t xml:space="preserve">    "Customer Password", "Customer Fname", "Customer Lname",</w:t>
            </w:r>
          </w:p>
          <w:p>
            <w:pPr>
              <w:spacing w:after="0" w:before="0" w:line="240" w:lineRule="auto"/>
            </w:pPr>
            <w:r>
              <w:rPr>
                <w:rFonts w:ascii="Consolas" w:hAnsi="Consolas"/>
                <w:color w:val="243746"/>
                <w:sz w:val="15"/>
              </w:rPr>
              <w:t xml:space="preserve">    "Customer Street", "Customer Zipcode"</w:t>
            </w:r>
          </w:p>
          <w:p>
            <w:pPr>
              <w:spacing w:after="0" w:before="0" w:line="240" w:lineRule="auto"/>
            </w:pPr>
            <w:r>
              <w:rPr>
                <w:rFonts w:ascii="Consolas" w:hAnsi="Consolas"/>
                <w:color w:val="243746"/>
                <w:sz w:val="15"/>
              </w:rPr>
              <w:t>]</w:t>
            </w:r>
          </w:p>
          <w:p>
            <w:pPr>
              <w:spacing w:after="0" w:before="0" w:line="240" w:lineRule="auto"/>
            </w:pPr>
            <w:r>
              <w:rPr>
                <w:rFonts w:ascii="Consolas" w:hAnsi="Consolas"/>
                <w:color w:val="243746"/>
                <w:sz w:val="15"/>
              </w:rPr>
              <w:t>df = df.drop(columns=columns_to_drop, errors="ignore")</w:t>
            </w:r>
          </w:p>
          <w:p>
            <w:pPr>
              <w:spacing w:after="0" w:before="0" w:line="240" w:lineRule="auto"/>
            </w:pPr>
            <w:r>
              <w:rPr>
                <w:rFonts w:ascii="Consolas" w:hAnsi="Consolas"/>
                <w:color w:val="243746"/>
                <w:sz w:val="15"/>
              </w:rPr>
              <w:t xml:space="preserve"> </w:t>
            </w:r>
          </w:p>
          <w:p>
            <w:pPr>
              <w:spacing w:after="0" w:before="0" w:line="240" w:lineRule="auto"/>
            </w:pPr>
            <w:r>
              <w:rPr>
                <w:rFonts w:ascii="Consolas" w:hAnsi="Consolas"/>
                <w:color w:val="243746"/>
                <w:sz w:val="15"/>
              </w:rPr>
              <w:t># Schedule variance</w:t>
            </w:r>
          </w:p>
          <w:p>
            <w:pPr>
              <w:spacing w:after="0" w:before="0" w:line="240" w:lineRule="auto"/>
            </w:pPr>
            <w:r>
              <w:rPr>
                <w:rFonts w:ascii="Consolas" w:hAnsi="Consolas"/>
                <w:color w:val="243746"/>
                <w:sz w:val="15"/>
              </w:rPr>
              <w:t>df["Shipping Delay Days"] = (</w:t>
            </w:r>
          </w:p>
          <w:p>
            <w:pPr>
              <w:spacing w:after="0" w:before="0" w:line="240" w:lineRule="auto"/>
            </w:pPr>
            <w:r>
              <w:rPr>
                <w:rFonts w:ascii="Consolas" w:hAnsi="Consolas"/>
                <w:color w:val="243746"/>
                <w:sz w:val="15"/>
              </w:rPr>
              <w:t xml:space="preserve">    df["Days for shipping (real)"]</w:t>
            </w:r>
          </w:p>
          <w:p>
            <w:pPr>
              <w:spacing w:after="0" w:before="0" w:line="240" w:lineRule="auto"/>
            </w:pPr>
            <w:r>
              <w:rPr>
                <w:rFonts w:ascii="Consolas" w:hAnsi="Consolas"/>
                <w:color w:val="243746"/>
                <w:sz w:val="15"/>
              </w:rPr>
              <w:t xml:space="preserve">    - df["Days for shipment (scheduled)"]</w:t>
            </w:r>
          </w:p>
          <w:p>
            <w:pPr>
              <w:spacing w:after="0" w:before="0" w:line="240" w:lineRule="auto"/>
            </w:pPr>
            <w:r>
              <w:rPr>
                <w:rFonts w:ascii="Consolas" w:hAnsi="Consolas"/>
                <w:color w:val="243746"/>
                <w:sz w:val="15"/>
              </w:rPr>
              <w:t>)</w:t>
            </w:r>
          </w:p>
        </w:tc>
      </w:tr>
    </w:tbl>
    <w:p>
      <w:pPr>
        <w:spacing w:after="20"/>
      </w:pPr>
    </w:p>
    <w:p>
      <w:pPr>
        <w:pStyle w:val="Heading1"/>
        <w:keepNext/>
      </w:pPr>
      <w:r>
        <w:rPr>
          <w:rFonts w:ascii="Aptos" w:hAnsi="Aptos"/>
          <w:b/>
          <w:color w:val="16324F"/>
          <w:sz w:val="32"/>
        </w:rPr>
        <w:t>4. Outlier Detection Using the IQR Rule</w:t>
      </w:r>
    </w:p>
    <w:p>
      <w:pPr>
        <w:spacing w:after="100" w:before="0"/>
      </w:pPr>
      <w:r>
        <w:rPr>
          <w:rFonts w:ascii="Aptos" w:hAnsi="Aptos"/>
          <w:i w:val="0"/>
          <w:sz w:val="20"/>
        </w:rPr>
        <w:t>The interquartile range (IQR) was used as a distribution-based flagging method. For each numeric field, Q1 and Q3 were calculated; the IQR is Q3 minus Q1. Potential outliers are observations below Q1 − 1.5 × IQR or above Q3 + 1.5 × IQR. NIST describes these inner fences as a standard box-plot method for identifying potential outliers, while cautioning that outliers must be investigated rather than automatically discarded [3].</w:t>
      </w:r>
    </w:p>
    <w:tbl>
      <w:tblPr>
        <w:tblW w:type="auto" w:w="0"/>
        <w:jc w:val="center"/>
        <w:tblLook w:firstColumn="1" w:firstRow="1" w:lastColumn="0" w:lastRow="0" w:noHBand="0" w:noVBand="1" w:val="04A0"/>
      </w:tblPr>
      <w:tblGrid>
        <w:gridCol w:w="9994"/>
      </w:tblGrid>
      <w:tr>
        <w:tc>
          <w:tcPr>
            <w:tcW w:type="dxa" w:w="9994"/>
            <w:shd w:fill="F1F4F7"/>
          </w:tcPr>
          <w:p>
            <w:pPr>
              <w:spacing w:after="0" w:before="0" w:line="240" w:lineRule="auto"/>
            </w:pPr>
            <w:r/>
            <w:r>
              <w:rPr>
                <w:rFonts w:ascii="Consolas" w:hAnsi="Consolas"/>
                <w:color w:val="243746"/>
                <w:sz w:val="15"/>
              </w:rPr>
              <w:t>q1 = series.quantile(0.25)</w:t>
            </w:r>
          </w:p>
          <w:p>
            <w:pPr>
              <w:spacing w:after="0" w:before="0" w:line="240" w:lineRule="auto"/>
            </w:pPr>
            <w:r>
              <w:rPr>
                <w:rFonts w:ascii="Consolas" w:hAnsi="Consolas"/>
                <w:color w:val="243746"/>
                <w:sz w:val="15"/>
              </w:rPr>
              <w:t>q3 = series.quantile(0.75)</w:t>
            </w:r>
          </w:p>
          <w:p>
            <w:pPr>
              <w:spacing w:after="0" w:before="0" w:line="240" w:lineRule="auto"/>
            </w:pPr>
            <w:r>
              <w:rPr>
                <w:rFonts w:ascii="Consolas" w:hAnsi="Consolas"/>
                <w:color w:val="243746"/>
                <w:sz w:val="15"/>
              </w:rPr>
              <w:t>iqr = q3 - q1</w:t>
            </w:r>
          </w:p>
          <w:p>
            <w:pPr>
              <w:spacing w:after="0" w:before="0" w:line="240" w:lineRule="auto"/>
            </w:pPr>
            <w:r>
              <w:rPr>
                <w:rFonts w:ascii="Consolas" w:hAnsi="Consolas"/>
                <w:color w:val="243746"/>
                <w:sz w:val="15"/>
              </w:rPr>
              <w:t>lower_fence = q1 - 1.5 * iqr</w:t>
            </w:r>
          </w:p>
          <w:p>
            <w:pPr>
              <w:spacing w:after="0" w:before="0" w:line="240" w:lineRule="auto"/>
            </w:pPr>
            <w:r>
              <w:rPr>
                <w:rFonts w:ascii="Consolas" w:hAnsi="Consolas"/>
                <w:color w:val="243746"/>
                <w:sz w:val="15"/>
              </w:rPr>
              <w:t>upper_fence = q3 + 1.5 * iqr</w:t>
            </w:r>
          </w:p>
          <w:p>
            <w:pPr>
              <w:spacing w:after="0" w:before="0" w:line="240" w:lineRule="auto"/>
            </w:pPr>
            <w:r>
              <w:rPr>
                <w:rFonts w:ascii="Consolas" w:hAnsi="Consolas"/>
                <w:color w:val="243746"/>
                <w:sz w:val="15"/>
              </w:rPr>
              <w:t>flagged = (series &lt; lower_fence) | (series &gt; upper_fence)</w:t>
            </w:r>
          </w:p>
          <w:p>
            <w:pPr>
              <w:spacing w:after="0" w:before="0" w:line="240" w:lineRule="auto"/>
            </w:pPr>
            <w:r>
              <w:rPr>
                <w:rFonts w:ascii="Consolas" w:hAnsi="Consolas"/>
                <w:color w:val="243746"/>
                <w:sz w:val="15"/>
              </w:rPr>
              <w:t>outlier_count = int(flagged.sum())</w:t>
            </w:r>
          </w:p>
          <w:p>
            <w:pPr>
              <w:spacing w:after="0" w:before="0" w:line="240" w:lineRule="auto"/>
            </w:pPr>
            <w:r>
              <w:rPr>
                <w:rFonts w:ascii="Consolas" w:hAnsi="Consolas"/>
                <w:color w:val="243746"/>
                <w:sz w:val="15"/>
              </w:rPr>
              <w:t>outlier_percent = 100 * flagged.mean()</w:t>
            </w:r>
          </w:p>
        </w:tc>
      </w:tr>
    </w:tbl>
    <w:p>
      <w:pPr>
        <w:spacing w:after="20"/>
      </w:pPr>
    </w:p>
    <w:tbl>
      <w:tblPr>
        <w:tblStyle w:val="TableGrid"/>
        <w:tblW w:type="auto" w:w="0"/>
        <w:jc w:val="center"/>
        <w:tblLook w:firstColumn="1" w:firstRow="1" w:lastColumn="0" w:lastRow="0" w:noHBand="0" w:noVBand="1" w:val="04A0"/>
      </w:tblPr>
      <w:tblGrid>
        <w:gridCol w:w="1428"/>
        <w:gridCol w:w="1428"/>
        <w:gridCol w:w="1428"/>
        <w:gridCol w:w="1428"/>
        <w:gridCol w:w="1428"/>
        <w:gridCol w:w="1428"/>
        <w:gridCol w:w="1428"/>
      </w:tblGrid>
      <w:tr>
        <w:trPr>
          <w:tblHeader w:val="true"/>
        </w:trPr>
        <w:tc>
          <w:tcPr>
            <w:tcW w:type="dxa" w:w="2736"/>
            <w:vAlign w:val="center"/>
            <w:shd w:fill="16324F"/>
          </w:tcPr>
          <w:p>
            <w:pPr>
              <w:spacing w:after="0" w:before="0"/>
            </w:pPr>
            <w:r/>
            <w:r>
              <w:rPr>
                <w:rFonts w:ascii="Aptos" w:hAnsi="Aptos"/>
                <w:b/>
                <w:color w:val="FFFFFF"/>
                <w:sz w:val="14"/>
              </w:rPr>
              <w:t>Numeric field</w:t>
            </w:r>
          </w:p>
        </w:tc>
        <w:tc>
          <w:tcPr>
            <w:tcW w:type="dxa" w:w="893"/>
            <w:vAlign w:val="center"/>
            <w:shd w:fill="16324F"/>
          </w:tcPr>
          <w:p>
            <w:pPr>
              <w:spacing w:after="0" w:before="0"/>
            </w:pPr>
            <w:r/>
            <w:r>
              <w:rPr>
                <w:rFonts w:ascii="Aptos" w:hAnsi="Aptos"/>
                <w:b/>
                <w:color w:val="FFFFFF"/>
                <w:sz w:val="14"/>
              </w:rPr>
              <w:t>Q1</w:t>
            </w:r>
          </w:p>
        </w:tc>
        <w:tc>
          <w:tcPr>
            <w:tcW w:type="dxa" w:w="893"/>
            <w:vAlign w:val="center"/>
            <w:shd w:fill="16324F"/>
          </w:tcPr>
          <w:p>
            <w:pPr>
              <w:spacing w:after="0" w:before="0"/>
            </w:pPr>
            <w:r/>
            <w:r>
              <w:rPr>
                <w:rFonts w:ascii="Aptos" w:hAnsi="Aptos"/>
                <w:b/>
                <w:color w:val="FFFFFF"/>
                <w:sz w:val="14"/>
              </w:rPr>
              <w:t>Q3</w:t>
            </w:r>
          </w:p>
        </w:tc>
        <w:tc>
          <w:tcPr>
            <w:tcW w:type="dxa" w:w="1152"/>
            <w:vAlign w:val="center"/>
            <w:shd w:fill="16324F"/>
          </w:tcPr>
          <w:p>
            <w:pPr>
              <w:spacing w:after="0" w:before="0"/>
            </w:pPr>
            <w:r/>
            <w:r>
              <w:rPr>
                <w:rFonts w:ascii="Aptos" w:hAnsi="Aptos"/>
                <w:b/>
                <w:color w:val="FFFFFF"/>
                <w:sz w:val="14"/>
              </w:rPr>
              <w:t>Lower fence</w:t>
            </w:r>
          </w:p>
        </w:tc>
        <w:tc>
          <w:tcPr>
            <w:tcW w:type="dxa" w:w="1152"/>
            <w:vAlign w:val="center"/>
            <w:shd w:fill="16324F"/>
          </w:tcPr>
          <w:p>
            <w:pPr>
              <w:spacing w:after="0" w:before="0"/>
            </w:pPr>
            <w:r/>
            <w:r>
              <w:rPr>
                <w:rFonts w:ascii="Aptos" w:hAnsi="Aptos"/>
                <w:b/>
                <w:color w:val="FFFFFF"/>
                <w:sz w:val="14"/>
              </w:rPr>
              <w:t>Upper fence</w:t>
            </w:r>
          </w:p>
        </w:tc>
        <w:tc>
          <w:tcPr>
            <w:tcW w:type="dxa" w:w="1037"/>
            <w:vAlign w:val="center"/>
            <w:shd w:fill="16324F"/>
          </w:tcPr>
          <w:p>
            <w:pPr>
              <w:spacing w:after="0" w:before="0"/>
            </w:pPr>
            <w:r/>
            <w:r>
              <w:rPr>
                <w:rFonts w:ascii="Aptos" w:hAnsi="Aptos"/>
                <w:b/>
                <w:color w:val="FFFFFF"/>
                <w:sz w:val="14"/>
              </w:rPr>
              <w:t>Flagged n</w:t>
            </w:r>
          </w:p>
        </w:tc>
        <w:tc>
          <w:tcPr>
            <w:tcW w:type="dxa" w:w="965"/>
            <w:vAlign w:val="center"/>
            <w:shd w:fill="16324F"/>
          </w:tcPr>
          <w:p>
            <w:pPr>
              <w:spacing w:after="0" w:before="0"/>
            </w:pPr>
            <w:r/>
            <w:r>
              <w:rPr>
                <w:rFonts w:ascii="Aptos" w:hAnsi="Aptos"/>
                <w:b/>
                <w:color w:val="FFFFFF"/>
                <w:sz w:val="14"/>
              </w:rPr>
              <w:t>Flagged %</w:t>
            </w:r>
          </w:p>
        </w:tc>
      </w:tr>
      <w:tr>
        <w:tc>
          <w:tcPr>
            <w:tcW w:type="dxa" w:w="2736"/>
            <w:vAlign w:val="center"/>
          </w:tcPr>
          <w:p>
            <w:pPr>
              <w:spacing w:after="0" w:before="0"/>
            </w:pPr>
            <w:r/>
            <w:r>
              <w:rPr>
                <w:rFonts w:ascii="Aptos" w:hAnsi="Aptos"/>
                <w:b w:val="0"/>
                <w:sz w:val="14"/>
              </w:rPr>
              <w:t>Days for shipping (real)</w:t>
            </w:r>
          </w:p>
        </w:tc>
        <w:tc>
          <w:tcPr>
            <w:tcW w:type="dxa" w:w="893"/>
            <w:vAlign w:val="center"/>
          </w:tcPr>
          <w:p>
            <w:pPr>
              <w:spacing w:after="0" w:before="0"/>
            </w:pPr>
            <w:r/>
            <w:r>
              <w:rPr>
                <w:rFonts w:ascii="Aptos" w:hAnsi="Aptos"/>
                <w:b w:val="0"/>
                <w:sz w:val="14"/>
              </w:rPr>
              <w:t>2.00</w:t>
            </w:r>
          </w:p>
        </w:tc>
        <w:tc>
          <w:tcPr>
            <w:tcW w:type="dxa" w:w="893"/>
            <w:vAlign w:val="center"/>
          </w:tcPr>
          <w:p>
            <w:pPr>
              <w:spacing w:after="0" w:before="0"/>
            </w:pPr>
            <w:r/>
            <w:r>
              <w:rPr>
                <w:rFonts w:ascii="Aptos" w:hAnsi="Aptos"/>
                <w:b w:val="0"/>
                <w:sz w:val="14"/>
              </w:rPr>
              <w:t>5.00</w:t>
            </w:r>
          </w:p>
        </w:tc>
        <w:tc>
          <w:tcPr>
            <w:tcW w:type="dxa" w:w="1152"/>
            <w:vAlign w:val="center"/>
          </w:tcPr>
          <w:p>
            <w:pPr>
              <w:spacing w:after="0" w:before="0"/>
            </w:pPr>
            <w:r/>
            <w:r>
              <w:rPr>
                <w:rFonts w:ascii="Aptos" w:hAnsi="Aptos"/>
                <w:b w:val="0"/>
                <w:sz w:val="14"/>
              </w:rPr>
              <w:t>-2.50</w:t>
            </w:r>
          </w:p>
        </w:tc>
        <w:tc>
          <w:tcPr>
            <w:tcW w:type="dxa" w:w="1152"/>
            <w:vAlign w:val="center"/>
          </w:tcPr>
          <w:p>
            <w:pPr>
              <w:spacing w:after="0" w:before="0"/>
            </w:pPr>
            <w:r/>
            <w:r>
              <w:rPr>
                <w:rFonts w:ascii="Aptos" w:hAnsi="Aptos"/>
                <w:b w:val="0"/>
                <w:sz w:val="14"/>
              </w:rPr>
              <w:t>9.50</w:t>
            </w:r>
          </w:p>
        </w:tc>
        <w:tc>
          <w:tcPr>
            <w:tcW w:type="dxa" w:w="1037"/>
            <w:vAlign w:val="center"/>
          </w:tcPr>
          <w:p>
            <w:pPr>
              <w:spacing w:after="0" w:before="0"/>
            </w:pPr>
            <w:r/>
            <w:r>
              <w:rPr>
                <w:rFonts w:ascii="Aptos" w:hAnsi="Aptos"/>
                <w:b w:val="0"/>
                <w:sz w:val="14"/>
              </w:rPr>
              <w:t>0</w:t>
            </w:r>
          </w:p>
        </w:tc>
        <w:tc>
          <w:tcPr>
            <w:tcW w:type="dxa" w:w="965"/>
            <w:vAlign w:val="center"/>
          </w:tcPr>
          <w:p>
            <w:pPr>
              <w:spacing w:after="0" w:before="0"/>
            </w:pPr>
            <w:r/>
            <w:r>
              <w:rPr>
                <w:rFonts w:ascii="Aptos" w:hAnsi="Aptos"/>
                <w:b w:val="0"/>
                <w:sz w:val="14"/>
              </w:rPr>
              <w:t>0.00%</w:t>
            </w:r>
          </w:p>
        </w:tc>
      </w:tr>
      <w:tr>
        <w:tc>
          <w:tcPr>
            <w:tcW w:type="dxa" w:w="2736"/>
            <w:vAlign w:val="center"/>
            <w:shd w:fill="F4F7FA"/>
          </w:tcPr>
          <w:p>
            <w:pPr>
              <w:spacing w:after="0" w:before="0"/>
            </w:pPr>
            <w:r/>
            <w:r>
              <w:rPr>
                <w:rFonts w:ascii="Aptos" w:hAnsi="Aptos"/>
                <w:b w:val="0"/>
                <w:sz w:val="14"/>
              </w:rPr>
              <w:t>Days for shipment (scheduled)</w:t>
            </w:r>
          </w:p>
        </w:tc>
        <w:tc>
          <w:tcPr>
            <w:tcW w:type="dxa" w:w="893"/>
            <w:vAlign w:val="center"/>
            <w:shd w:fill="F4F7FA"/>
          </w:tcPr>
          <w:p>
            <w:pPr>
              <w:spacing w:after="0" w:before="0"/>
            </w:pPr>
            <w:r/>
            <w:r>
              <w:rPr>
                <w:rFonts w:ascii="Aptos" w:hAnsi="Aptos"/>
                <w:b w:val="0"/>
                <w:sz w:val="14"/>
              </w:rPr>
              <w:t>2.00</w:t>
            </w:r>
          </w:p>
        </w:tc>
        <w:tc>
          <w:tcPr>
            <w:tcW w:type="dxa" w:w="893"/>
            <w:vAlign w:val="center"/>
            <w:shd w:fill="F4F7FA"/>
          </w:tcPr>
          <w:p>
            <w:pPr>
              <w:spacing w:after="0" w:before="0"/>
            </w:pPr>
            <w:r/>
            <w:r>
              <w:rPr>
                <w:rFonts w:ascii="Aptos" w:hAnsi="Aptos"/>
                <w:b w:val="0"/>
                <w:sz w:val="14"/>
              </w:rPr>
              <w:t>4.00</w:t>
            </w:r>
          </w:p>
        </w:tc>
        <w:tc>
          <w:tcPr>
            <w:tcW w:type="dxa" w:w="1152"/>
            <w:vAlign w:val="center"/>
            <w:shd w:fill="F4F7FA"/>
          </w:tcPr>
          <w:p>
            <w:pPr>
              <w:spacing w:after="0" w:before="0"/>
            </w:pPr>
            <w:r/>
            <w:r>
              <w:rPr>
                <w:rFonts w:ascii="Aptos" w:hAnsi="Aptos"/>
                <w:b w:val="0"/>
                <w:sz w:val="14"/>
              </w:rPr>
              <w:t>-1.00</w:t>
            </w:r>
          </w:p>
        </w:tc>
        <w:tc>
          <w:tcPr>
            <w:tcW w:type="dxa" w:w="1152"/>
            <w:vAlign w:val="center"/>
            <w:shd w:fill="F4F7FA"/>
          </w:tcPr>
          <w:p>
            <w:pPr>
              <w:spacing w:after="0" w:before="0"/>
            </w:pPr>
            <w:r/>
            <w:r>
              <w:rPr>
                <w:rFonts w:ascii="Aptos" w:hAnsi="Aptos"/>
                <w:b w:val="0"/>
                <w:sz w:val="14"/>
              </w:rPr>
              <w:t>7.00</w:t>
            </w:r>
          </w:p>
        </w:tc>
        <w:tc>
          <w:tcPr>
            <w:tcW w:type="dxa" w:w="1037"/>
            <w:vAlign w:val="center"/>
            <w:shd w:fill="F4F7FA"/>
          </w:tcPr>
          <w:p>
            <w:pPr>
              <w:spacing w:after="0" w:before="0"/>
            </w:pPr>
            <w:r/>
            <w:r>
              <w:rPr>
                <w:rFonts w:ascii="Aptos" w:hAnsi="Aptos"/>
                <w:b w:val="0"/>
                <w:sz w:val="14"/>
              </w:rPr>
              <w:t>0</w:t>
            </w:r>
          </w:p>
        </w:tc>
        <w:tc>
          <w:tcPr>
            <w:tcW w:type="dxa" w:w="965"/>
            <w:vAlign w:val="center"/>
            <w:shd w:fill="F4F7FA"/>
          </w:tcPr>
          <w:p>
            <w:pPr>
              <w:spacing w:after="0" w:before="0"/>
            </w:pPr>
            <w:r/>
            <w:r>
              <w:rPr>
                <w:rFonts w:ascii="Aptos" w:hAnsi="Aptos"/>
                <w:b w:val="0"/>
                <w:sz w:val="14"/>
              </w:rPr>
              <w:t>0.00%</w:t>
            </w:r>
          </w:p>
        </w:tc>
      </w:tr>
      <w:tr>
        <w:tc>
          <w:tcPr>
            <w:tcW w:type="dxa" w:w="2736"/>
            <w:vAlign w:val="center"/>
          </w:tcPr>
          <w:p>
            <w:pPr>
              <w:spacing w:after="0" w:before="0"/>
            </w:pPr>
            <w:r/>
            <w:r>
              <w:rPr>
                <w:rFonts w:ascii="Aptos" w:hAnsi="Aptos"/>
                <w:b w:val="0"/>
                <w:sz w:val="14"/>
              </w:rPr>
              <w:t>Shipping Delay Days</w:t>
            </w:r>
          </w:p>
        </w:tc>
        <w:tc>
          <w:tcPr>
            <w:tcW w:type="dxa" w:w="893"/>
            <w:vAlign w:val="center"/>
          </w:tcPr>
          <w:p>
            <w:pPr>
              <w:spacing w:after="0" w:before="0"/>
            </w:pPr>
            <w:r/>
            <w:r>
              <w:rPr>
                <w:rFonts w:ascii="Aptos" w:hAnsi="Aptos"/>
                <w:b w:val="0"/>
                <w:sz w:val="14"/>
              </w:rPr>
              <w:t>0.00</w:t>
            </w:r>
          </w:p>
        </w:tc>
        <w:tc>
          <w:tcPr>
            <w:tcW w:type="dxa" w:w="893"/>
            <w:vAlign w:val="center"/>
          </w:tcPr>
          <w:p>
            <w:pPr>
              <w:spacing w:after="0" w:before="0"/>
            </w:pPr>
            <w:r/>
            <w:r>
              <w:rPr>
                <w:rFonts w:ascii="Aptos" w:hAnsi="Aptos"/>
                <w:b w:val="0"/>
                <w:sz w:val="14"/>
              </w:rPr>
              <w:t>1.00</w:t>
            </w:r>
          </w:p>
        </w:tc>
        <w:tc>
          <w:tcPr>
            <w:tcW w:type="dxa" w:w="1152"/>
            <w:vAlign w:val="center"/>
          </w:tcPr>
          <w:p>
            <w:pPr>
              <w:spacing w:after="0" w:before="0"/>
            </w:pPr>
            <w:r/>
            <w:r>
              <w:rPr>
                <w:rFonts w:ascii="Aptos" w:hAnsi="Aptos"/>
                <w:b w:val="0"/>
                <w:sz w:val="14"/>
              </w:rPr>
              <w:t>-1.50</w:t>
            </w:r>
          </w:p>
        </w:tc>
        <w:tc>
          <w:tcPr>
            <w:tcW w:type="dxa" w:w="1152"/>
            <w:vAlign w:val="center"/>
          </w:tcPr>
          <w:p>
            <w:pPr>
              <w:spacing w:after="0" w:before="0"/>
            </w:pPr>
            <w:r/>
            <w:r>
              <w:rPr>
                <w:rFonts w:ascii="Aptos" w:hAnsi="Aptos"/>
                <w:b w:val="0"/>
                <w:sz w:val="14"/>
              </w:rPr>
              <w:t>2.50</w:t>
            </w:r>
          </w:p>
        </w:tc>
        <w:tc>
          <w:tcPr>
            <w:tcW w:type="dxa" w:w="1037"/>
            <w:vAlign w:val="center"/>
          </w:tcPr>
          <w:p>
            <w:pPr>
              <w:spacing w:after="0" w:before="0"/>
            </w:pPr>
            <w:r/>
            <w:r>
              <w:rPr>
                <w:rFonts w:ascii="Aptos" w:hAnsi="Aptos"/>
                <w:b w:val="0"/>
                <w:sz w:val="14"/>
              </w:rPr>
              <w:t>35,701</w:t>
            </w:r>
          </w:p>
        </w:tc>
        <w:tc>
          <w:tcPr>
            <w:tcW w:type="dxa" w:w="965"/>
            <w:vAlign w:val="center"/>
          </w:tcPr>
          <w:p>
            <w:pPr>
              <w:spacing w:after="0" w:before="0"/>
            </w:pPr>
            <w:r/>
            <w:r>
              <w:rPr>
                <w:rFonts w:ascii="Aptos" w:hAnsi="Aptos"/>
                <w:b w:val="0"/>
                <w:sz w:val="14"/>
              </w:rPr>
              <w:t>19.78%</w:t>
            </w:r>
          </w:p>
        </w:tc>
      </w:tr>
      <w:tr>
        <w:tc>
          <w:tcPr>
            <w:tcW w:type="dxa" w:w="2736"/>
            <w:vAlign w:val="center"/>
            <w:shd w:fill="F4F7FA"/>
          </w:tcPr>
          <w:p>
            <w:pPr>
              <w:spacing w:after="0" w:before="0"/>
            </w:pPr>
            <w:r/>
            <w:r>
              <w:rPr>
                <w:rFonts w:ascii="Aptos" w:hAnsi="Aptos"/>
                <w:b w:val="0"/>
                <w:sz w:val="14"/>
              </w:rPr>
              <w:t>Order Item Quantity</w:t>
            </w:r>
          </w:p>
        </w:tc>
        <w:tc>
          <w:tcPr>
            <w:tcW w:type="dxa" w:w="893"/>
            <w:vAlign w:val="center"/>
            <w:shd w:fill="F4F7FA"/>
          </w:tcPr>
          <w:p>
            <w:pPr>
              <w:spacing w:after="0" w:before="0"/>
            </w:pPr>
            <w:r/>
            <w:r>
              <w:rPr>
                <w:rFonts w:ascii="Aptos" w:hAnsi="Aptos"/>
                <w:b w:val="0"/>
                <w:sz w:val="14"/>
              </w:rPr>
              <w:t>1.00</w:t>
            </w:r>
          </w:p>
        </w:tc>
        <w:tc>
          <w:tcPr>
            <w:tcW w:type="dxa" w:w="893"/>
            <w:vAlign w:val="center"/>
            <w:shd w:fill="F4F7FA"/>
          </w:tcPr>
          <w:p>
            <w:pPr>
              <w:spacing w:after="0" w:before="0"/>
            </w:pPr>
            <w:r/>
            <w:r>
              <w:rPr>
                <w:rFonts w:ascii="Aptos" w:hAnsi="Aptos"/>
                <w:b w:val="0"/>
                <w:sz w:val="14"/>
              </w:rPr>
              <w:t>3.00</w:t>
            </w:r>
          </w:p>
        </w:tc>
        <w:tc>
          <w:tcPr>
            <w:tcW w:type="dxa" w:w="1152"/>
            <w:vAlign w:val="center"/>
            <w:shd w:fill="F4F7FA"/>
          </w:tcPr>
          <w:p>
            <w:pPr>
              <w:spacing w:after="0" w:before="0"/>
            </w:pPr>
            <w:r/>
            <w:r>
              <w:rPr>
                <w:rFonts w:ascii="Aptos" w:hAnsi="Aptos"/>
                <w:b w:val="0"/>
                <w:sz w:val="14"/>
              </w:rPr>
              <w:t>-2.00</w:t>
            </w:r>
          </w:p>
        </w:tc>
        <w:tc>
          <w:tcPr>
            <w:tcW w:type="dxa" w:w="1152"/>
            <w:vAlign w:val="center"/>
            <w:shd w:fill="F4F7FA"/>
          </w:tcPr>
          <w:p>
            <w:pPr>
              <w:spacing w:after="0" w:before="0"/>
            </w:pPr>
            <w:r/>
            <w:r>
              <w:rPr>
                <w:rFonts w:ascii="Aptos" w:hAnsi="Aptos"/>
                <w:b w:val="0"/>
                <w:sz w:val="14"/>
              </w:rPr>
              <w:t>6.00</w:t>
            </w:r>
          </w:p>
        </w:tc>
        <w:tc>
          <w:tcPr>
            <w:tcW w:type="dxa" w:w="1037"/>
            <w:vAlign w:val="center"/>
            <w:shd w:fill="F4F7FA"/>
          </w:tcPr>
          <w:p>
            <w:pPr>
              <w:spacing w:after="0" w:before="0"/>
            </w:pPr>
            <w:r/>
            <w:r>
              <w:rPr>
                <w:rFonts w:ascii="Aptos" w:hAnsi="Aptos"/>
                <w:b w:val="0"/>
                <w:sz w:val="14"/>
              </w:rPr>
              <w:t>0</w:t>
            </w:r>
          </w:p>
        </w:tc>
        <w:tc>
          <w:tcPr>
            <w:tcW w:type="dxa" w:w="965"/>
            <w:vAlign w:val="center"/>
            <w:shd w:fill="F4F7FA"/>
          </w:tcPr>
          <w:p>
            <w:pPr>
              <w:spacing w:after="0" w:before="0"/>
            </w:pPr>
            <w:r/>
            <w:r>
              <w:rPr>
                <w:rFonts w:ascii="Aptos" w:hAnsi="Aptos"/>
                <w:b w:val="0"/>
                <w:sz w:val="14"/>
              </w:rPr>
              <w:t>0.00%</w:t>
            </w:r>
          </w:p>
        </w:tc>
      </w:tr>
      <w:tr>
        <w:tc>
          <w:tcPr>
            <w:tcW w:type="dxa" w:w="2736"/>
            <w:vAlign w:val="center"/>
          </w:tcPr>
          <w:p>
            <w:pPr>
              <w:spacing w:after="0" w:before="0"/>
            </w:pPr>
            <w:r/>
            <w:r>
              <w:rPr>
                <w:rFonts w:ascii="Aptos" w:hAnsi="Aptos"/>
                <w:b w:val="0"/>
                <w:sz w:val="14"/>
              </w:rPr>
              <w:t>Order Item Product Price</w:t>
            </w:r>
          </w:p>
        </w:tc>
        <w:tc>
          <w:tcPr>
            <w:tcW w:type="dxa" w:w="893"/>
            <w:vAlign w:val="center"/>
          </w:tcPr>
          <w:p>
            <w:pPr>
              <w:spacing w:after="0" w:before="0"/>
            </w:pPr>
            <w:r/>
            <w:r>
              <w:rPr>
                <w:rFonts w:ascii="Aptos" w:hAnsi="Aptos"/>
                <w:b w:val="0"/>
                <w:sz w:val="14"/>
              </w:rPr>
              <w:t>50.00</w:t>
            </w:r>
          </w:p>
        </w:tc>
        <w:tc>
          <w:tcPr>
            <w:tcW w:type="dxa" w:w="893"/>
            <w:vAlign w:val="center"/>
          </w:tcPr>
          <w:p>
            <w:pPr>
              <w:spacing w:after="0" w:before="0"/>
            </w:pPr>
            <w:r/>
            <w:r>
              <w:rPr>
                <w:rFonts w:ascii="Aptos" w:hAnsi="Aptos"/>
                <w:b w:val="0"/>
                <w:sz w:val="14"/>
              </w:rPr>
              <w:t>199.99</w:t>
            </w:r>
          </w:p>
        </w:tc>
        <w:tc>
          <w:tcPr>
            <w:tcW w:type="dxa" w:w="1152"/>
            <w:vAlign w:val="center"/>
          </w:tcPr>
          <w:p>
            <w:pPr>
              <w:spacing w:after="0" w:before="0"/>
            </w:pPr>
            <w:r/>
            <w:r>
              <w:rPr>
                <w:rFonts w:ascii="Aptos" w:hAnsi="Aptos"/>
                <w:b w:val="0"/>
                <w:sz w:val="14"/>
              </w:rPr>
              <w:t>-174.99</w:t>
            </w:r>
          </w:p>
        </w:tc>
        <w:tc>
          <w:tcPr>
            <w:tcW w:type="dxa" w:w="1152"/>
            <w:vAlign w:val="center"/>
          </w:tcPr>
          <w:p>
            <w:pPr>
              <w:spacing w:after="0" w:before="0"/>
            </w:pPr>
            <w:r/>
            <w:r>
              <w:rPr>
                <w:rFonts w:ascii="Aptos" w:hAnsi="Aptos"/>
                <w:b w:val="0"/>
                <w:sz w:val="14"/>
              </w:rPr>
              <w:t>424.98</w:t>
            </w:r>
          </w:p>
        </w:tc>
        <w:tc>
          <w:tcPr>
            <w:tcW w:type="dxa" w:w="1037"/>
            <w:vAlign w:val="center"/>
          </w:tcPr>
          <w:p>
            <w:pPr>
              <w:spacing w:after="0" w:before="0"/>
            </w:pPr>
            <w:r/>
            <w:r>
              <w:rPr>
                <w:rFonts w:ascii="Aptos" w:hAnsi="Aptos"/>
                <w:b w:val="0"/>
                <w:sz w:val="14"/>
              </w:rPr>
              <w:t>2,048</w:t>
            </w:r>
          </w:p>
        </w:tc>
        <w:tc>
          <w:tcPr>
            <w:tcW w:type="dxa" w:w="965"/>
            <w:vAlign w:val="center"/>
          </w:tcPr>
          <w:p>
            <w:pPr>
              <w:spacing w:after="0" w:before="0"/>
            </w:pPr>
            <w:r/>
            <w:r>
              <w:rPr>
                <w:rFonts w:ascii="Aptos" w:hAnsi="Aptos"/>
                <w:b w:val="0"/>
                <w:sz w:val="14"/>
              </w:rPr>
              <w:t>1.13%</w:t>
            </w:r>
          </w:p>
        </w:tc>
      </w:tr>
      <w:tr>
        <w:tc>
          <w:tcPr>
            <w:tcW w:type="dxa" w:w="2736"/>
            <w:vAlign w:val="center"/>
            <w:shd w:fill="F4F7FA"/>
          </w:tcPr>
          <w:p>
            <w:pPr>
              <w:spacing w:after="0" w:before="0"/>
            </w:pPr>
            <w:r/>
            <w:r>
              <w:rPr>
                <w:rFonts w:ascii="Aptos" w:hAnsi="Aptos"/>
                <w:b w:val="0"/>
                <w:sz w:val="14"/>
              </w:rPr>
              <w:t>Order Item Total</w:t>
            </w:r>
          </w:p>
        </w:tc>
        <w:tc>
          <w:tcPr>
            <w:tcW w:type="dxa" w:w="893"/>
            <w:vAlign w:val="center"/>
            <w:shd w:fill="F4F7FA"/>
          </w:tcPr>
          <w:p>
            <w:pPr>
              <w:spacing w:after="0" w:before="0"/>
            </w:pPr>
            <w:r/>
            <w:r>
              <w:rPr>
                <w:rFonts w:ascii="Aptos" w:hAnsi="Aptos"/>
                <w:b w:val="0"/>
                <w:sz w:val="14"/>
              </w:rPr>
              <w:t>104.38</w:t>
            </w:r>
          </w:p>
        </w:tc>
        <w:tc>
          <w:tcPr>
            <w:tcW w:type="dxa" w:w="893"/>
            <w:vAlign w:val="center"/>
            <w:shd w:fill="F4F7FA"/>
          </w:tcPr>
          <w:p>
            <w:pPr>
              <w:spacing w:after="0" w:before="0"/>
            </w:pPr>
            <w:r/>
            <w:r>
              <w:rPr>
                <w:rFonts w:ascii="Aptos" w:hAnsi="Aptos"/>
                <w:b w:val="0"/>
                <w:sz w:val="14"/>
              </w:rPr>
              <w:t>247.40</w:t>
            </w:r>
          </w:p>
        </w:tc>
        <w:tc>
          <w:tcPr>
            <w:tcW w:type="dxa" w:w="1152"/>
            <w:vAlign w:val="center"/>
            <w:shd w:fill="F4F7FA"/>
          </w:tcPr>
          <w:p>
            <w:pPr>
              <w:spacing w:after="0" w:before="0"/>
            </w:pPr>
            <w:r/>
            <w:r>
              <w:rPr>
                <w:rFonts w:ascii="Aptos" w:hAnsi="Aptos"/>
                <w:b w:val="0"/>
                <w:sz w:val="14"/>
              </w:rPr>
              <w:t>-110.15</w:t>
            </w:r>
          </w:p>
        </w:tc>
        <w:tc>
          <w:tcPr>
            <w:tcW w:type="dxa" w:w="1152"/>
            <w:vAlign w:val="center"/>
            <w:shd w:fill="F4F7FA"/>
          </w:tcPr>
          <w:p>
            <w:pPr>
              <w:spacing w:after="0" w:before="0"/>
            </w:pPr>
            <w:r/>
            <w:r>
              <w:rPr>
                <w:rFonts w:ascii="Aptos" w:hAnsi="Aptos"/>
                <w:b w:val="0"/>
                <w:sz w:val="14"/>
              </w:rPr>
              <w:t>461.93</w:t>
            </w:r>
          </w:p>
        </w:tc>
        <w:tc>
          <w:tcPr>
            <w:tcW w:type="dxa" w:w="1037"/>
            <w:vAlign w:val="center"/>
            <w:shd w:fill="F4F7FA"/>
          </w:tcPr>
          <w:p>
            <w:pPr>
              <w:spacing w:after="0" w:before="0"/>
            </w:pPr>
            <w:r/>
            <w:r>
              <w:rPr>
                <w:rFonts w:ascii="Aptos" w:hAnsi="Aptos"/>
                <w:b w:val="0"/>
                <w:sz w:val="14"/>
              </w:rPr>
              <w:t>1,943</w:t>
            </w:r>
          </w:p>
        </w:tc>
        <w:tc>
          <w:tcPr>
            <w:tcW w:type="dxa" w:w="965"/>
            <w:vAlign w:val="center"/>
            <w:shd w:fill="F4F7FA"/>
          </w:tcPr>
          <w:p>
            <w:pPr>
              <w:spacing w:after="0" w:before="0"/>
            </w:pPr>
            <w:r/>
            <w:r>
              <w:rPr>
                <w:rFonts w:ascii="Aptos" w:hAnsi="Aptos"/>
                <w:b w:val="0"/>
                <w:sz w:val="14"/>
              </w:rPr>
              <w:t>1.08%</w:t>
            </w:r>
          </w:p>
        </w:tc>
      </w:tr>
      <w:tr>
        <w:tc>
          <w:tcPr>
            <w:tcW w:type="dxa" w:w="2736"/>
            <w:vAlign w:val="center"/>
          </w:tcPr>
          <w:p>
            <w:pPr>
              <w:spacing w:after="0" w:before="0"/>
            </w:pPr>
            <w:r/>
            <w:r>
              <w:rPr>
                <w:rFonts w:ascii="Aptos" w:hAnsi="Aptos"/>
                <w:b w:val="0"/>
                <w:sz w:val="14"/>
              </w:rPr>
              <w:t>Sales</w:t>
            </w:r>
          </w:p>
        </w:tc>
        <w:tc>
          <w:tcPr>
            <w:tcW w:type="dxa" w:w="893"/>
            <w:vAlign w:val="center"/>
          </w:tcPr>
          <w:p>
            <w:pPr>
              <w:spacing w:after="0" w:before="0"/>
            </w:pPr>
            <w:r/>
            <w:r>
              <w:rPr>
                <w:rFonts w:ascii="Aptos" w:hAnsi="Aptos"/>
                <w:b w:val="0"/>
                <w:sz w:val="14"/>
              </w:rPr>
              <w:t>119.98</w:t>
            </w:r>
          </w:p>
        </w:tc>
        <w:tc>
          <w:tcPr>
            <w:tcW w:type="dxa" w:w="893"/>
            <w:vAlign w:val="center"/>
          </w:tcPr>
          <w:p>
            <w:pPr>
              <w:spacing w:after="0" w:before="0"/>
            </w:pPr>
            <w:r/>
            <w:r>
              <w:rPr>
                <w:rFonts w:ascii="Aptos" w:hAnsi="Aptos"/>
                <w:b w:val="0"/>
                <w:sz w:val="14"/>
              </w:rPr>
              <w:t>299.95</w:t>
            </w:r>
          </w:p>
        </w:tc>
        <w:tc>
          <w:tcPr>
            <w:tcW w:type="dxa" w:w="1152"/>
            <w:vAlign w:val="center"/>
          </w:tcPr>
          <w:p>
            <w:pPr>
              <w:spacing w:after="0" w:before="0"/>
            </w:pPr>
            <w:r/>
            <w:r>
              <w:rPr>
                <w:rFonts w:ascii="Aptos" w:hAnsi="Aptos"/>
                <w:b w:val="0"/>
                <w:sz w:val="14"/>
              </w:rPr>
              <w:t>-149.98</w:t>
            </w:r>
          </w:p>
        </w:tc>
        <w:tc>
          <w:tcPr>
            <w:tcW w:type="dxa" w:w="1152"/>
            <w:vAlign w:val="center"/>
          </w:tcPr>
          <w:p>
            <w:pPr>
              <w:spacing w:after="0" w:before="0"/>
            </w:pPr>
            <w:r/>
            <w:r>
              <w:rPr>
                <w:rFonts w:ascii="Aptos" w:hAnsi="Aptos"/>
                <w:b w:val="0"/>
                <w:sz w:val="14"/>
              </w:rPr>
              <w:t>569.91</w:t>
            </w:r>
          </w:p>
        </w:tc>
        <w:tc>
          <w:tcPr>
            <w:tcW w:type="dxa" w:w="1037"/>
            <w:vAlign w:val="center"/>
          </w:tcPr>
          <w:p>
            <w:pPr>
              <w:spacing w:after="0" w:before="0"/>
            </w:pPr>
            <w:r/>
            <w:r>
              <w:rPr>
                <w:rFonts w:ascii="Aptos" w:hAnsi="Aptos"/>
                <w:b w:val="0"/>
                <w:sz w:val="14"/>
              </w:rPr>
              <w:t>488</w:t>
            </w:r>
          </w:p>
        </w:tc>
        <w:tc>
          <w:tcPr>
            <w:tcW w:type="dxa" w:w="965"/>
            <w:vAlign w:val="center"/>
          </w:tcPr>
          <w:p>
            <w:pPr>
              <w:spacing w:after="0" w:before="0"/>
            </w:pPr>
            <w:r/>
            <w:r>
              <w:rPr>
                <w:rFonts w:ascii="Aptos" w:hAnsi="Aptos"/>
                <w:b w:val="0"/>
                <w:sz w:val="14"/>
              </w:rPr>
              <w:t>0.27%</w:t>
            </w:r>
          </w:p>
        </w:tc>
      </w:tr>
      <w:tr>
        <w:tc>
          <w:tcPr>
            <w:tcW w:type="dxa" w:w="2736"/>
            <w:vAlign w:val="center"/>
            <w:shd w:fill="F4F7FA"/>
          </w:tcPr>
          <w:p>
            <w:pPr>
              <w:spacing w:after="0" w:before="0"/>
            </w:pPr>
            <w:r/>
            <w:r>
              <w:rPr>
                <w:rFonts w:ascii="Aptos" w:hAnsi="Aptos"/>
                <w:b w:val="0"/>
                <w:sz w:val="14"/>
              </w:rPr>
              <w:t>Order Profit Per Order</w:t>
            </w:r>
          </w:p>
        </w:tc>
        <w:tc>
          <w:tcPr>
            <w:tcW w:type="dxa" w:w="893"/>
            <w:vAlign w:val="center"/>
            <w:shd w:fill="F4F7FA"/>
          </w:tcPr>
          <w:p>
            <w:pPr>
              <w:spacing w:after="0" w:before="0"/>
            </w:pPr>
            <w:r/>
            <w:r>
              <w:rPr>
                <w:rFonts w:ascii="Aptos" w:hAnsi="Aptos"/>
                <w:b w:val="0"/>
                <w:sz w:val="14"/>
              </w:rPr>
              <w:t>7.00</w:t>
            </w:r>
          </w:p>
        </w:tc>
        <w:tc>
          <w:tcPr>
            <w:tcW w:type="dxa" w:w="893"/>
            <w:vAlign w:val="center"/>
            <w:shd w:fill="F4F7FA"/>
          </w:tcPr>
          <w:p>
            <w:pPr>
              <w:spacing w:after="0" w:before="0"/>
            </w:pPr>
            <w:r/>
            <w:r>
              <w:rPr>
                <w:rFonts w:ascii="Aptos" w:hAnsi="Aptos"/>
                <w:b w:val="0"/>
                <w:sz w:val="14"/>
              </w:rPr>
              <w:t>64.80</w:t>
            </w:r>
          </w:p>
        </w:tc>
        <w:tc>
          <w:tcPr>
            <w:tcW w:type="dxa" w:w="1152"/>
            <w:vAlign w:val="center"/>
            <w:shd w:fill="F4F7FA"/>
          </w:tcPr>
          <w:p>
            <w:pPr>
              <w:spacing w:after="0" w:before="0"/>
            </w:pPr>
            <w:r/>
            <w:r>
              <w:rPr>
                <w:rFonts w:ascii="Aptos" w:hAnsi="Aptos"/>
                <w:b w:val="0"/>
                <w:sz w:val="14"/>
              </w:rPr>
              <w:t>-79.70</w:t>
            </w:r>
          </w:p>
        </w:tc>
        <w:tc>
          <w:tcPr>
            <w:tcW w:type="dxa" w:w="1152"/>
            <w:vAlign w:val="center"/>
            <w:shd w:fill="F4F7FA"/>
          </w:tcPr>
          <w:p>
            <w:pPr>
              <w:spacing w:after="0" w:before="0"/>
            </w:pPr>
            <w:r/>
            <w:r>
              <w:rPr>
                <w:rFonts w:ascii="Aptos" w:hAnsi="Aptos"/>
                <w:b w:val="0"/>
                <w:sz w:val="14"/>
              </w:rPr>
              <w:t>151.50</w:t>
            </w:r>
          </w:p>
        </w:tc>
        <w:tc>
          <w:tcPr>
            <w:tcW w:type="dxa" w:w="1037"/>
            <w:vAlign w:val="center"/>
            <w:shd w:fill="F4F7FA"/>
          </w:tcPr>
          <w:p>
            <w:pPr>
              <w:spacing w:after="0" w:before="0"/>
            </w:pPr>
            <w:r/>
            <w:r>
              <w:rPr>
                <w:rFonts w:ascii="Aptos" w:hAnsi="Aptos"/>
                <w:b w:val="0"/>
                <w:sz w:val="14"/>
              </w:rPr>
              <w:t>18,942</w:t>
            </w:r>
          </w:p>
        </w:tc>
        <w:tc>
          <w:tcPr>
            <w:tcW w:type="dxa" w:w="965"/>
            <w:vAlign w:val="center"/>
            <w:shd w:fill="F4F7FA"/>
          </w:tcPr>
          <w:p>
            <w:pPr>
              <w:spacing w:after="0" w:before="0"/>
            </w:pPr>
            <w:r/>
            <w:r>
              <w:rPr>
                <w:rFonts w:ascii="Aptos" w:hAnsi="Aptos"/>
                <w:b w:val="0"/>
                <w:sz w:val="14"/>
              </w:rPr>
              <w:t>10.49%</w:t>
            </w:r>
          </w:p>
        </w:tc>
      </w:tr>
    </w:tbl>
    <w:p>
      <w:pPr>
        <w:spacing w:after="20"/>
      </w:pPr>
    </w:p>
    <w:p>
      <w:r>
        <w:drawing>
          <wp:inline xmlns:a="http://schemas.openxmlformats.org/drawingml/2006/main" xmlns:pic="http://schemas.openxmlformats.org/drawingml/2006/picture">
            <wp:extent cx="5989320" cy="2723609"/>
            <wp:docPr id="2" name="Picture 2"/>
            <wp:cNvGraphicFramePr>
              <a:graphicFrameLocks noChangeAspect="1"/>
            </wp:cNvGraphicFramePr>
            <a:graphic>
              <a:graphicData uri="http://schemas.openxmlformats.org/drawingml/2006/picture">
                <pic:pic>
                  <pic:nvPicPr>
                    <pic:cNvPr id="0" name="fig2_outlier_flags.png"/>
                    <pic:cNvPicPr/>
                  </pic:nvPicPr>
                  <pic:blipFill>
                    <a:blip r:embed="rId12"/>
                    <a:stretch>
                      <a:fillRect/>
                    </a:stretch>
                  </pic:blipFill>
                  <pic:spPr>
                    <a:xfrm>
                      <a:off x="0" y="0"/>
                      <a:ext cx="5989320" cy="2723609"/>
                    </a:xfrm>
                    <a:prstGeom prst="rect"/>
                  </pic:spPr>
                </pic:pic>
              </a:graphicData>
            </a:graphic>
          </wp:inline>
        </w:drawing>
      </w:r>
    </w:p>
    <w:p>
      <w:pPr>
        <w:spacing w:before="40" w:after="160"/>
        <w:jc w:val="center"/>
      </w:pPr>
      <w:r>
        <w:rPr>
          <w:i/>
          <w:color w:val="5C6770"/>
          <w:sz w:val="17"/>
        </w:rPr>
        <w:t>Figure 2. Percentage and count of observations outside the IQR fences for each numeric field.</w:t>
      </w:r>
    </w:p>
    <w:p>
      <w:pPr>
        <w:pStyle w:val="Heading2"/>
        <w:keepNext/>
      </w:pPr>
      <w:r>
        <w:rPr>
          <w:rFonts w:ascii="Aptos" w:hAnsi="Aptos"/>
          <w:b/>
          <w:color w:val="007C91"/>
          <w:sz w:val="25"/>
        </w:rPr>
        <w:t>4.1 Interpretation</w:t>
      </w:r>
    </w:p>
    <w:p>
      <w:pPr>
        <w:spacing w:after="100" w:before="0"/>
      </w:pPr>
      <w:r>
        <w:rPr>
          <w:rFonts w:ascii="Aptos" w:hAnsi="Aptos"/>
          <w:i w:val="0"/>
          <w:sz w:val="20"/>
        </w:rPr>
        <w:t>Shipping Delay Days has Q1 = 0, Q3 = 1 and IQR = 1, so its fences are −1.5 and +2.5 days. Because the observed delay values are integer-valued, −2, +3 and +4 fall outside those fences. The observed counts were 21,666 at −2 days, 7,052 at +3 days and 6,983 at +4 days, totalling 35,701 (19.78%).</w:t>
      </w:r>
    </w:p>
    <w:p>
      <w:pPr>
        <w:spacing w:after="100" w:before="0"/>
      </w:pPr>
      <w:r>
        <w:rPr>
          <w:rFonts w:ascii="Aptos" w:hAnsi="Aptos"/>
          <w:i w:val="0"/>
          <w:sz w:val="20"/>
        </w:rPr>
        <w:t>The other large flagged group was Order Profit Per Order: 18,942 records (10.49%) lay outside its fences of approximately −79.70 to +151.50. Price, item-total and sales fields had smaller flag rates of 1.13%, 1.08% and 0.27%, respectively. No outliers were flagged by the 1.5 × IQR rule for actual shipping days, scheduled shipping days or item quantity.</w:t>
      </w:r>
    </w:p>
    <w:p>
      <w:pPr>
        <w:spacing w:after="100" w:before="0"/>
      </w:pPr>
      <w:r>
        <w:rPr>
          <w:rFonts w:ascii="Aptos" w:hAnsi="Aptos"/>
          <w:i w:val="0"/>
          <w:sz w:val="20"/>
        </w:rPr>
        <w:t>These results identify candidates for review, not data errors. A long shipping delay may be an operational problem worth retaining; unusual profit can be a genuine high- or low-margin transaction. The report pipeline records the flags but does not winsorise, cap or remove them. Any later correction would require business validation and a documented rule.</w:t>
      </w:r>
    </w:p>
    <w:p>
      <w:pPr>
        <w:pStyle w:val="Heading1"/>
        <w:keepNext/>
      </w:pPr>
      <w:r>
        <w:rPr>
          <w:rFonts w:ascii="Aptos" w:hAnsi="Aptos"/>
          <w:b/>
          <w:color w:val="16324F"/>
          <w:sz w:val="32"/>
        </w:rPr>
        <w:t>5. Schedule-Variance Distribution and Consistency Check</w:t>
      </w:r>
    </w:p>
    <w:p>
      <w:pPr>
        <w:spacing w:after="100" w:before="0"/>
      </w:pPr>
      <w:r>
        <w:rPr>
          <w:rFonts w:ascii="Aptos" w:hAnsi="Aptos"/>
          <w:i w:val="0"/>
          <w:sz w:val="20"/>
        </w:rPr>
        <w:t>The distribution of Shipping Delay Days contains seven integer values, from −2 through +4. The most frequent value was +1 day (60,647 records), followed by 0 days (33,753) and +2 days (28,718).</w:t>
      </w:r>
    </w:p>
    <w:tbl>
      <w:tblPr>
        <w:tblStyle w:val="TableGrid"/>
        <w:tblW w:type="auto" w:w="0"/>
        <w:jc w:val="center"/>
        <w:tblLook w:firstColumn="1" w:firstRow="1" w:lastColumn="0" w:lastRow="0" w:noHBand="0" w:noVBand="1" w:val="04A0"/>
      </w:tblPr>
      <w:tblGrid>
        <w:gridCol w:w="2498"/>
        <w:gridCol w:w="2498"/>
        <w:gridCol w:w="2498"/>
        <w:gridCol w:w="2498"/>
      </w:tblGrid>
      <w:tr>
        <w:trPr>
          <w:tblHeader w:val="true"/>
        </w:trPr>
        <w:tc>
          <w:tcPr>
            <w:tcW w:type="dxa" w:w="1584"/>
            <w:vAlign w:val="center"/>
            <w:shd w:fill="16324F"/>
          </w:tcPr>
          <w:p>
            <w:pPr>
              <w:spacing w:after="0" w:before="0"/>
            </w:pPr>
            <w:r/>
            <w:r>
              <w:rPr>
                <w:rFonts w:ascii="Aptos" w:hAnsi="Aptos"/>
                <w:b/>
                <w:color w:val="FFFFFF"/>
                <w:sz w:val="16"/>
              </w:rPr>
              <w:t>Delay (days)</w:t>
            </w:r>
          </w:p>
        </w:tc>
        <w:tc>
          <w:tcPr>
            <w:tcW w:type="dxa" w:w="1800"/>
            <w:vAlign w:val="center"/>
            <w:shd w:fill="16324F"/>
          </w:tcPr>
          <w:p>
            <w:pPr>
              <w:spacing w:after="0" w:before="0"/>
            </w:pPr>
            <w:r/>
            <w:r>
              <w:rPr>
                <w:rFonts w:ascii="Aptos" w:hAnsi="Aptos"/>
                <w:b/>
                <w:color w:val="FFFFFF"/>
                <w:sz w:val="16"/>
              </w:rPr>
              <w:t>Records</w:t>
            </w:r>
          </w:p>
        </w:tc>
        <w:tc>
          <w:tcPr>
            <w:tcW w:type="dxa" w:w="2088"/>
            <w:vAlign w:val="center"/>
            <w:shd w:fill="16324F"/>
          </w:tcPr>
          <w:p>
            <w:pPr>
              <w:spacing w:after="0" w:before="0"/>
            </w:pPr>
            <w:r/>
            <w:r>
              <w:rPr>
                <w:rFonts w:ascii="Aptos" w:hAnsi="Aptos"/>
                <w:b/>
                <w:color w:val="FFFFFF"/>
                <w:sz w:val="16"/>
              </w:rPr>
              <w:t>Share of all rows</w:t>
            </w:r>
          </w:p>
        </w:tc>
        <w:tc>
          <w:tcPr>
            <w:tcW w:type="dxa" w:w="4320"/>
            <w:vAlign w:val="center"/>
            <w:shd w:fill="16324F"/>
          </w:tcPr>
          <w:p>
            <w:pPr>
              <w:spacing w:after="0" w:before="0"/>
            </w:pPr>
            <w:r/>
            <w:r>
              <w:rPr>
                <w:rFonts w:ascii="Aptos" w:hAnsi="Aptos"/>
                <w:b/>
                <w:color w:val="FFFFFF"/>
                <w:sz w:val="16"/>
              </w:rPr>
              <w:t>Interpretation</w:t>
            </w:r>
          </w:p>
        </w:tc>
      </w:tr>
      <w:tr>
        <w:tc>
          <w:tcPr>
            <w:tcW w:type="dxa" w:w="1584"/>
            <w:vAlign w:val="center"/>
          </w:tcPr>
          <w:p>
            <w:pPr>
              <w:spacing w:after="0" w:before="0"/>
            </w:pPr>
            <w:r/>
            <w:r>
              <w:rPr>
                <w:rFonts w:ascii="Aptos" w:hAnsi="Aptos"/>
                <w:b w:val="0"/>
                <w:sz w:val="16"/>
              </w:rPr>
              <w:t>-2</w:t>
            </w:r>
          </w:p>
        </w:tc>
        <w:tc>
          <w:tcPr>
            <w:tcW w:type="dxa" w:w="1800"/>
            <w:vAlign w:val="center"/>
          </w:tcPr>
          <w:p>
            <w:pPr>
              <w:spacing w:after="0" w:before="0"/>
            </w:pPr>
            <w:r/>
            <w:r>
              <w:rPr>
                <w:rFonts w:ascii="Aptos" w:hAnsi="Aptos"/>
                <w:b w:val="0"/>
                <w:sz w:val="16"/>
              </w:rPr>
              <w:t>21,666</w:t>
            </w:r>
          </w:p>
        </w:tc>
        <w:tc>
          <w:tcPr>
            <w:tcW w:type="dxa" w:w="2088"/>
            <w:vAlign w:val="center"/>
          </w:tcPr>
          <w:p>
            <w:pPr>
              <w:spacing w:after="0" w:before="0"/>
            </w:pPr>
            <w:r/>
            <w:r>
              <w:rPr>
                <w:rFonts w:ascii="Aptos" w:hAnsi="Aptos"/>
                <w:b w:val="0"/>
                <w:sz w:val="16"/>
              </w:rPr>
              <w:t>12.00%</w:t>
            </w:r>
          </w:p>
        </w:tc>
        <w:tc>
          <w:tcPr>
            <w:tcW w:type="dxa" w:w="4320"/>
            <w:vAlign w:val="center"/>
          </w:tcPr>
          <w:p>
            <w:pPr>
              <w:spacing w:after="0" w:before="0"/>
            </w:pPr>
            <w:r/>
            <w:r>
              <w:rPr>
                <w:rFonts w:ascii="Aptos" w:hAnsi="Aptos"/>
                <w:b w:val="0"/>
                <w:sz w:val="16"/>
              </w:rPr>
              <w:t>Earlier than schedule</w:t>
            </w:r>
          </w:p>
        </w:tc>
      </w:tr>
      <w:tr>
        <w:tc>
          <w:tcPr>
            <w:tcW w:type="dxa" w:w="1584"/>
            <w:vAlign w:val="center"/>
            <w:shd w:fill="F4F7FA"/>
          </w:tcPr>
          <w:p>
            <w:pPr>
              <w:spacing w:after="0" w:before="0"/>
            </w:pPr>
            <w:r/>
            <w:r>
              <w:rPr>
                <w:rFonts w:ascii="Aptos" w:hAnsi="Aptos"/>
                <w:b w:val="0"/>
                <w:sz w:val="16"/>
              </w:rPr>
              <w:t>-1</w:t>
            </w:r>
          </w:p>
        </w:tc>
        <w:tc>
          <w:tcPr>
            <w:tcW w:type="dxa" w:w="1800"/>
            <w:vAlign w:val="center"/>
            <w:shd w:fill="F4F7FA"/>
          </w:tcPr>
          <w:p>
            <w:pPr>
              <w:spacing w:after="0" w:before="0"/>
            </w:pPr>
            <w:r/>
            <w:r>
              <w:rPr>
                <w:rFonts w:ascii="Aptos" w:hAnsi="Aptos"/>
                <w:b w:val="0"/>
                <w:sz w:val="16"/>
              </w:rPr>
              <w:t>21,700</w:t>
            </w:r>
          </w:p>
        </w:tc>
        <w:tc>
          <w:tcPr>
            <w:tcW w:type="dxa" w:w="2088"/>
            <w:vAlign w:val="center"/>
            <w:shd w:fill="F4F7FA"/>
          </w:tcPr>
          <w:p>
            <w:pPr>
              <w:spacing w:after="0" w:before="0"/>
            </w:pPr>
            <w:r/>
            <w:r>
              <w:rPr>
                <w:rFonts w:ascii="Aptos" w:hAnsi="Aptos"/>
                <w:b w:val="0"/>
                <w:sz w:val="16"/>
              </w:rPr>
              <w:t>12.02%</w:t>
            </w:r>
          </w:p>
        </w:tc>
        <w:tc>
          <w:tcPr>
            <w:tcW w:type="dxa" w:w="4320"/>
            <w:vAlign w:val="center"/>
            <w:shd w:fill="F4F7FA"/>
          </w:tcPr>
          <w:p>
            <w:pPr>
              <w:spacing w:after="0" w:before="0"/>
            </w:pPr>
            <w:r/>
            <w:r>
              <w:rPr>
                <w:rFonts w:ascii="Aptos" w:hAnsi="Aptos"/>
                <w:b w:val="0"/>
                <w:sz w:val="16"/>
              </w:rPr>
              <w:t>Earlier than schedule</w:t>
            </w:r>
          </w:p>
        </w:tc>
      </w:tr>
      <w:tr>
        <w:tc>
          <w:tcPr>
            <w:tcW w:type="dxa" w:w="1584"/>
            <w:vAlign w:val="center"/>
          </w:tcPr>
          <w:p>
            <w:pPr>
              <w:spacing w:after="0" w:before="0"/>
            </w:pPr>
            <w:r/>
            <w:r>
              <w:rPr>
                <w:rFonts w:ascii="Aptos" w:hAnsi="Aptos"/>
                <w:b w:val="0"/>
                <w:sz w:val="16"/>
              </w:rPr>
              <w:t>0</w:t>
            </w:r>
          </w:p>
        </w:tc>
        <w:tc>
          <w:tcPr>
            <w:tcW w:type="dxa" w:w="1800"/>
            <w:vAlign w:val="center"/>
          </w:tcPr>
          <w:p>
            <w:pPr>
              <w:spacing w:after="0" w:before="0"/>
            </w:pPr>
            <w:r/>
            <w:r>
              <w:rPr>
                <w:rFonts w:ascii="Aptos" w:hAnsi="Aptos"/>
                <w:b w:val="0"/>
                <w:sz w:val="16"/>
              </w:rPr>
              <w:t>33,753</w:t>
            </w:r>
          </w:p>
        </w:tc>
        <w:tc>
          <w:tcPr>
            <w:tcW w:type="dxa" w:w="2088"/>
            <w:vAlign w:val="center"/>
          </w:tcPr>
          <w:p>
            <w:pPr>
              <w:spacing w:after="0" w:before="0"/>
            </w:pPr>
            <w:r/>
            <w:r>
              <w:rPr>
                <w:rFonts w:ascii="Aptos" w:hAnsi="Aptos"/>
                <w:b w:val="0"/>
                <w:sz w:val="16"/>
              </w:rPr>
              <w:t>18.70%</w:t>
            </w:r>
          </w:p>
        </w:tc>
        <w:tc>
          <w:tcPr>
            <w:tcW w:type="dxa" w:w="4320"/>
            <w:vAlign w:val="center"/>
          </w:tcPr>
          <w:p>
            <w:pPr>
              <w:spacing w:after="0" w:before="0"/>
            </w:pPr>
            <w:r/>
            <w:r>
              <w:rPr>
                <w:rFonts w:ascii="Aptos" w:hAnsi="Aptos"/>
                <w:b w:val="0"/>
                <w:sz w:val="16"/>
              </w:rPr>
              <w:t>Equal to schedule</w:t>
            </w:r>
          </w:p>
        </w:tc>
      </w:tr>
      <w:tr>
        <w:tc>
          <w:tcPr>
            <w:tcW w:type="dxa" w:w="1584"/>
            <w:vAlign w:val="center"/>
            <w:shd w:fill="F4F7FA"/>
          </w:tcPr>
          <w:p>
            <w:pPr>
              <w:spacing w:after="0" w:before="0"/>
            </w:pPr>
            <w:r/>
            <w:r>
              <w:rPr>
                <w:rFonts w:ascii="Aptos" w:hAnsi="Aptos"/>
                <w:b w:val="0"/>
                <w:sz w:val="16"/>
              </w:rPr>
              <w:t>+1</w:t>
            </w:r>
          </w:p>
        </w:tc>
        <w:tc>
          <w:tcPr>
            <w:tcW w:type="dxa" w:w="1800"/>
            <w:vAlign w:val="center"/>
            <w:shd w:fill="F4F7FA"/>
          </w:tcPr>
          <w:p>
            <w:pPr>
              <w:spacing w:after="0" w:before="0"/>
            </w:pPr>
            <w:r/>
            <w:r>
              <w:rPr>
                <w:rFonts w:ascii="Aptos" w:hAnsi="Aptos"/>
                <w:b w:val="0"/>
                <w:sz w:val="16"/>
              </w:rPr>
              <w:t>60,647</w:t>
            </w:r>
          </w:p>
        </w:tc>
        <w:tc>
          <w:tcPr>
            <w:tcW w:type="dxa" w:w="2088"/>
            <w:vAlign w:val="center"/>
            <w:shd w:fill="F4F7FA"/>
          </w:tcPr>
          <w:p>
            <w:pPr>
              <w:spacing w:after="0" w:before="0"/>
            </w:pPr>
            <w:r/>
            <w:r>
              <w:rPr>
                <w:rFonts w:ascii="Aptos" w:hAnsi="Aptos"/>
                <w:b w:val="0"/>
                <w:sz w:val="16"/>
              </w:rPr>
              <w:t>33.60%</w:t>
            </w:r>
          </w:p>
        </w:tc>
        <w:tc>
          <w:tcPr>
            <w:tcW w:type="dxa" w:w="4320"/>
            <w:vAlign w:val="center"/>
            <w:shd w:fill="F4F7FA"/>
          </w:tcPr>
          <w:p>
            <w:pPr>
              <w:spacing w:after="0" w:before="0"/>
            </w:pPr>
            <w:r/>
            <w:r>
              <w:rPr>
                <w:rFonts w:ascii="Aptos" w:hAnsi="Aptos"/>
                <w:b w:val="0"/>
                <w:sz w:val="16"/>
              </w:rPr>
              <w:t>Longer than scheduled duration</w:t>
            </w:r>
          </w:p>
        </w:tc>
      </w:tr>
      <w:tr>
        <w:tc>
          <w:tcPr>
            <w:tcW w:type="dxa" w:w="1584"/>
            <w:vAlign w:val="center"/>
          </w:tcPr>
          <w:p>
            <w:pPr>
              <w:spacing w:after="0" w:before="0"/>
            </w:pPr>
            <w:r/>
            <w:r>
              <w:rPr>
                <w:rFonts w:ascii="Aptos" w:hAnsi="Aptos"/>
                <w:b w:val="0"/>
                <w:sz w:val="16"/>
              </w:rPr>
              <w:t>+2</w:t>
            </w:r>
          </w:p>
        </w:tc>
        <w:tc>
          <w:tcPr>
            <w:tcW w:type="dxa" w:w="1800"/>
            <w:vAlign w:val="center"/>
          </w:tcPr>
          <w:p>
            <w:pPr>
              <w:spacing w:after="0" w:before="0"/>
            </w:pPr>
            <w:r/>
            <w:r>
              <w:rPr>
                <w:rFonts w:ascii="Aptos" w:hAnsi="Aptos"/>
                <w:b w:val="0"/>
                <w:sz w:val="16"/>
              </w:rPr>
              <w:t>28,718</w:t>
            </w:r>
          </w:p>
        </w:tc>
        <w:tc>
          <w:tcPr>
            <w:tcW w:type="dxa" w:w="2088"/>
            <w:vAlign w:val="center"/>
          </w:tcPr>
          <w:p>
            <w:pPr>
              <w:spacing w:after="0" w:before="0"/>
            </w:pPr>
            <w:r/>
            <w:r>
              <w:rPr>
                <w:rFonts w:ascii="Aptos" w:hAnsi="Aptos"/>
                <w:b w:val="0"/>
                <w:sz w:val="16"/>
              </w:rPr>
              <w:t>15.91%</w:t>
            </w:r>
          </w:p>
        </w:tc>
        <w:tc>
          <w:tcPr>
            <w:tcW w:type="dxa" w:w="4320"/>
            <w:vAlign w:val="center"/>
          </w:tcPr>
          <w:p>
            <w:pPr>
              <w:spacing w:after="0" w:before="0"/>
            </w:pPr>
            <w:r/>
            <w:r>
              <w:rPr>
                <w:rFonts w:ascii="Aptos" w:hAnsi="Aptos"/>
                <w:b w:val="0"/>
                <w:sz w:val="16"/>
              </w:rPr>
              <w:t>Longer than scheduled duration</w:t>
            </w:r>
          </w:p>
        </w:tc>
      </w:tr>
      <w:tr>
        <w:tc>
          <w:tcPr>
            <w:tcW w:type="dxa" w:w="1584"/>
            <w:vAlign w:val="center"/>
            <w:shd w:fill="F4F7FA"/>
          </w:tcPr>
          <w:p>
            <w:pPr>
              <w:spacing w:after="0" w:before="0"/>
            </w:pPr>
            <w:r/>
            <w:r>
              <w:rPr>
                <w:rFonts w:ascii="Aptos" w:hAnsi="Aptos"/>
                <w:b w:val="0"/>
                <w:sz w:val="16"/>
              </w:rPr>
              <w:t>+3</w:t>
            </w:r>
          </w:p>
        </w:tc>
        <w:tc>
          <w:tcPr>
            <w:tcW w:type="dxa" w:w="1800"/>
            <w:vAlign w:val="center"/>
            <w:shd w:fill="F4F7FA"/>
          </w:tcPr>
          <w:p>
            <w:pPr>
              <w:spacing w:after="0" w:before="0"/>
            </w:pPr>
            <w:r/>
            <w:r>
              <w:rPr>
                <w:rFonts w:ascii="Aptos" w:hAnsi="Aptos"/>
                <w:b w:val="0"/>
                <w:sz w:val="16"/>
              </w:rPr>
              <w:t>7,052</w:t>
            </w:r>
          </w:p>
        </w:tc>
        <w:tc>
          <w:tcPr>
            <w:tcW w:type="dxa" w:w="2088"/>
            <w:vAlign w:val="center"/>
            <w:shd w:fill="F4F7FA"/>
          </w:tcPr>
          <w:p>
            <w:pPr>
              <w:spacing w:after="0" w:before="0"/>
            </w:pPr>
            <w:r/>
            <w:r>
              <w:rPr>
                <w:rFonts w:ascii="Aptos" w:hAnsi="Aptos"/>
                <w:b w:val="0"/>
                <w:sz w:val="16"/>
              </w:rPr>
              <w:t>3.91%</w:t>
            </w:r>
          </w:p>
        </w:tc>
        <w:tc>
          <w:tcPr>
            <w:tcW w:type="dxa" w:w="4320"/>
            <w:vAlign w:val="center"/>
            <w:shd w:fill="F4F7FA"/>
          </w:tcPr>
          <w:p>
            <w:pPr>
              <w:spacing w:after="0" w:before="0"/>
            </w:pPr>
            <w:r/>
            <w:r>
              <w:rPr>
                <w:rFonts w:ascii="Aptos" w:hAnsi="Aptos"/>
                <w:b w:val="0"/>
                <w:sz w:val="16"/>
              </w:rPr>
              <w:t>Longer than scheduled duration</w:t>
            </w:r>
          </w:p>
        </w:tc>
      </w:tr>
      <w:tr>
        <w:tc>
          <w:tcPr>
            <w:tcW w:type="dxa" w:w="1584"/>
            <w:vAlign w:val="center"/>
          </w:tcPr>
          <w:p>
            <w:pPr>
              <w:spacing w:after="0" w:before="0"/>
            </w:pPr>
            <w:r/>
            <w:r>
              <w:rPr>
                <w:rFonts w:ascii="Aptos" w:hAnsi="Aptos"/>
                <w:b w:val="0"/>
                <w:sz w:val="16"/>
              </w:rPr>
              <w:t>+4</w:t>
            </w:r>
          </w:p>
        </w:tc>
        <w:tc>
          <w:tcPr>
            <w:tcW w:type="dxa" w:w="1800"/>
            <w:vAlign w:val="center"/>
          </w:tcPr>
          <w:p>
            <w:pPr>
              <w:spacing w:after="0" w:before="0"/>
            </w:pPr>
            <w:r/>
            <w:r>
              <w:rPr>
                <w:rFonts w:ascii="Aptos" w:hAnsi="Aptos"/>
                <w:b w:val="0"/>
                <w:sz w:val="16"/>
              </w:rPr>
              <w:t>6,983</w:t>
            </w:r>
          </w:p>
        </w:tc>
        <w:tc>
          <w:tcPr>
            <w:tcW w:type="dxa" w:w="2088"/>
            <w:vAlign w:val="center"/>
          </w:tcPr>
          <w:p>
            <w:pPr>
              <w:spacing w:after="0" w:before="0"/>
            </w:pPr>
            <w:r/>
            <w:r>
              <w:rPr>
                <w:rFonts w:ascii="Aptos" w:hAnsi="Aptos"/>
                <w:b w:val="0"/>
                <w:sz w:val="16"/>
              </w:rPr>
              <w:t>3.87%</w:t>
            </w:r>
          </w:p>
        </w:tc>
        <w:tc>
          <w:tcPr>
            <w:tcW w:type="dxa" w:w="4320"/>
            <w:vAlign w:val="center"/>
          </w:tcPr>
          <w:p>
            <w:pPr>
              <w:spacing w:after="0" w:before="0"/>
            </w:pPr>
            <w:r/>
            <w:r>
              <w:rPr>
                <w:rFonts w:ascii="Aptos" w:hAnsi="Aptos"/>
                <w:b w:val="0"/>
                <w:sz w:val="16"/>
              </w:rPr>
              <w:t>Longer than scheduled duration</w:t>
            </w:r>
          </w:p>
        </w:tc>
      </w:tr>
    </w:tbl>
    <w:p>
      <w:pPr>
        <w:spacing w:after="20"/>
      </w:pPr>
    </w:p>
    <w:p>
      <w:r>
        <w:drawing>
          <wp:inline xmlns:a="http://schemas.openxmlformats.org/drawingml/2006/main" xmlns:pic="http://schemas.openxmlformats.org/drawingml/2006/picture">
            <wp:extent cx="5943600" cy="2775388"/>
            <wp:docPr id="3" name="Picture 3"/>
            <wp:cNvGraphicFramePr>
              <a:graphicFrameLocks noChangeAspect="1"/>
            </wp:cNvGraphicFramePr>
            <a:graphic>
              <a:graphicData uri="http://schemas.openxmlformats.org/drawingml/2006/picture">
                <pic:pic>
                  <pic:nvPicPr>
                    <pic:cNvPr id="0" name="fig3_delay_distribution.png"/>
                    <pic:cNvPicPr/>
                  </pic:nvPicPr>
                  <pic:blipFill>
                    <a:blip r:embed="rId13"/>
                    <a:stretch>
                      <a:fillRect/>
                    </a:stretch>
                  </pic:blipFill>
                  <pic:spPr>
                    <a:xfrm>
                      <a:off x="0" y="0"/>
                      <a:ext cx="5943600" cy="2775388"/>
                    </a:xfrm>
                    <a:prstGeom prst="rect"/>
                  </pic:spPr>
                </pic:pic>
              </a:graphicData>
            </a:graphic>
          </wp:inline>
        </w:drawing>
      </w:r>
    </w:p>
    <w:p>
      <w:pPr>
        <w:spacing w:before="40" w:after="160"/>
        <w:jc w:val="center"/>
      </w:pPr>
      <w:r>
        <w:rPr>
          <w:i/>
          <w:color w:val="5C6770"/>
          <w:sz w:val="17"/>
        </w:rPr>
        <w:t>Figure 3. Record counts for each observed difference between actual and scheduled shipping days.</w:t>
      </w:r>
    </w:p>
    <w:p>
      <w:pPr>
        <w:pStyle w:val="Heading2"/>
        <w:keepNext/>
      </w:pPr>
      <w:r>
        <w:rPr>
          <w:rFonts w:ascii="Aptos" w:hAnsi="Aptos"/>
          <w:b/>
          <w:color w:val="007C91"/>
          <w:sz w:val="25"/>
        </w:rPr>
        <w:t>5.1 Relationship to delivery status</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2088"/>
            <w:vAlign w:val="center"/>
            <w:shd w:fill="16324F"/>
          </w:tcPr>
          <w:p>
            <w:pPr>
              <w:spacing w:after="0" w:before="0"/>
            </w:pPr>
            <w:r/>
            <w:r>
              <w:rPr>
                <w:rFonts w:ascii="Aptos" w:hAnsi="Aptos"/>
                <w:b/>
                <w:color w:val="FFFFFF"/>
                <w:sz w:val="16"/>
              </w:rPr>
              <w:t>Schedule variance</w:t>
            </w:r>
          </w:p>
        </w:tc>
        <w:tc>
          <w:tcPr>
            <w:tcW w:type="dxa" w:w="7488"/>
            <w:vAlign w:val="center"/>
            <w:shd w:fill="16324F"/>
          </w:tcPr>
          <w:p>
            <w:pPr>
              <w:spacing w:after="0" w:before="0"/>
            </w:pPr>
            <w:r/>
            <w:r>
              <w:rPr>
                <w:rFonts w:ascii="Aptos" w:hAnsi="Aptos"/>
                <w:b/>
                <w:color w:val="FFFFFF"/>
                <w:sz w:val="16"/>
              </w:rPr>
              <w:t>Within-row delivery-status distribution</w:t>
            </w:r>
          </w:p>
        </w:tc>
      </w:tr>
      <w:tr>
        <w:tc>
          <w:tcPr>
            <w:tcW w:type="dxa" w:w="2088"/>
            <w:vAlign w:val="center"/>
          </w:tcPr>
          <w:p>
            <w:pPr>
              <w:spacing w:after="0" w:before="0"/>
            </w:pPr>
            <w:r/>
            <w:r>
              <w:rPr>
                <w:rFonts w:ascii="Aptos" w:hAnsi="Aptos"/>
                <w:b w:val="0"/>
                <w:sz w:val="16"/>
              </w:rPr>
              <w:t>-2</w:t>
            </w:r>
          </w:p>
        </w:tc>
        <w:tc>
          <w:tcPr>
            <w:tcW w:type="dxa" w:w="7488"/>
            <w:vAlign w:val="center"/>
          </w:tcPr>
          <w:p>
            <w:pPr>
              <w:spacing w:after="0" w:before="0"/>
            </w:pPr>
            <w:r/>
            <w:r>
              <w:rPr>
                <w:rFonts w:ascii="Aptos" w:hAnsi="Aptos"/>
                <w:b w:val="0"/>
                <w:sz w:val="16"/>
              </w:rPr>
              <w:t>Advance shipping 96.3%; Shipping canceled 3.7%</w:t>
            </w:r>
          </w:p>
        </w:tc>
      </w:tr>
      <w:tr>
        <w:tc>
          <w:tcPr>
            <w:tcW w:type="dxa" w:w="2088"/>
            <w:vAlign w:val="center"/>
            <w:shd w:fill="F4F7FA"/>
          </w:tcPr>
          <w:p>
            <w:pPr>
              <w:spacing w:after="0" w:before="0"/>
            </w:pPr>
            <w:r/>
            <w:r>
              <w:rPr>
                <w:rFonts w:ascii="Aptos" w:hAnsi="Aptos"/>
                <w:b w:val="0"/>
                <w:sz w:val="16"/>
              </w:rPr>
              <w:t>-1</w:t>
            </w:r>
          </w:p>
        </w:tc>
        <w:tc>
          <w:tcPr>
            <w:tcW w:type="dxa" w:w="7488"/>
            <w:vAlign w:val="center"/>
            <w:shd w:fill="F4F7FA"/>
          </w:tcPr>
          <w:p>
            <w:pPr>
              <w:spacing w:after="0" w:before="0"/>
            </w:pPr>
            <w:r/>
            <w:r>
              <w:rPr>
                <w:rFonts w:ascii="Aptos" w:hAnsi="Aptos"/>
                <w:b w:val="0"/>
                <w:sz w:val="16"/>
              </w:rPr>
              <w:t>Advance shipping 95.5%; Shipping canceled 4.5%</w:t>
            </w:r>
          </w:p>
        </w:tc>
      </w:tr>
      <w:tr>
        <w:tc>
          <w:tcPr>
            <w:tcW w:type="dxa" w:w="2088"/>
            <w:vAlign w:val="center"/>
          </w:tcPr>
          <w:p>
            <w:pPr>
              <w:spacing w:after="0" w:before="0"/>
            </w:pPr>
            <w:r/>
            <w:r>
              <w:rPr>
                <w:rFonts w:ascii="Aptos" w:hAnsi="Aptos"/>
                <w:b w:val="0"/>
                <w:sz w:val="16"/>
              </w:rPr>
              <w:t>0</w:t>
            </w:r>
          </w:p>
        </w:tc>
        <w:tc>
          <w:tcPr>
            <w:tcW w:type="dxa" w:w="7488"/>
            <w:vAlign w:val="center"/>
          </w:tcPr>
          <w:p>
            <w:pPr>
              <w:spacing w:after="0" w:before="0"/>
            </w:pPr>
            <w:r/>
            <w:r>
              <w:rPr>
                <w:rFonts w:ascii="Aptos" w:hAnsi="Aptos"/>
                <w:b w:val="0"/>
                <w:sz w:val="16"/>
              </w:rPr>
              <w:t>Shipping on time 95.4%; Shipping canceled 4.6%</w:t>
            </w:r>
          </w:p>
        </w:tc>
      </w:tr>
      <w:tr>
        <w:tc>
          <w:tcPr>
            <w:tcW w:type="dxa" w:w="2088"/>
            <w:vAlign w:val="center"/>
            <w:shd w:fill="F4F7FA"/>
          </w:tcPr>
          <w:p>
            <w:pPr>
              <w:spacing w:after="0" w:before="0"/>
            </w:pPr>
            <w:r/>
            <w:r>
              <w:rPr>
                <w:rFonts w:ascii="Aptos" w:hAnsi="Aptos"/>
                <w:b w:val="0"/>
                <w:sz w:val="16"/>
              </w:rPr>
              <w:t>+1</w:t>
            </w:r>
          </w:p>
        </w:tc>
        <w:tc>
          <w:tcPr>
            <w:tcW w:type="dxa" w:w="7488"/>
            <w:vAlign w:val="center"/>
            <w:shd w:fill="F4F7FA"/>
          </w:tcPr>
          <w:p>
            <w:pPr>
              <w:spacing w:after="0" w:before="0"/>
            </w:pPr>
            <w:r/>
            <w:r>
              <w:rPr>
                <w:rFonts w:ascii="Aptos" w:hAnsi="Aptos"/>
                <w:b w:val="0"/>
                <w:sz w:val="16"/>
              </w:rPr>
              <w:t>Late delivery 95.6%; Shipping canceled 4.4%</w:t>
            </w:r>
          </w:p>
        </w:tc>
      </w:tr>
      <w:tr>
        <w:tc>
          <w:tcPr>
            <w:tcW w:type="dxa" w:w="2088"/>
            <w:vAlign w:val="center"/>
          </w:tcPr>
          <w:p>
            <w:pPr>
              <w:spacing w:after="0" w:before="0"/>
            </w:pPr>
            <w:r/>
            <w:r>
              <w:rPr>
                <w:rFonts w:ascii="Aptos" w:hAnsi="Aptos"/>
                <w:b w:val="0"/>
                <w:sz w:val="16"/>
              </w:rPr>
              <w:t>+2</w:t>
            </w:r>
          </w:p>
        </w:tc>
        <w:tc>
          <w:tcPr>
            <w:tcW w:type="dxa" w:w="7488"/>
            <w:vAlign w:val="center"/>
          </w:tcPr>
          <w:p>
            <w:pPr>
              <w:spacing w:after="0" w:before="0"/>
            </w:pPr>
            <w:r/>
            <w:r>
              <w:rPr>
                <w:rFonts w:ascii="Aptos" w:hAnsi="Aptos"/>
                <w:b w:val="0"/>
                <w:sz w:val="16"/>
              </w:rPr>
              <w:t>Late delivery 95.9%; Shipping canceled 4.1%</w:t>
            </w:r>
          </w:p>
        </w:tc>
      </w:tr>
      <w:tr>
        <w:tc>
          <w:tcPr>
            <w:tcW w:type="dxa" w:w="2088"/>
            <w:vAlign w:val="center"/>
            <w:shd w:fill="F4F7FA"/>
          </w:tcPr>
          <w:p>
            <w:pPr>
              <w:spacing w:after="0" w:before="0"/>
            </w:pPr>
            <w:r/>
            <w:r>
              <w:rPr>
                <w:rFonts w:ascii="Aptos" w:hAnsi="Aptos"/>
                <w:b w:val="0"/>
                <w:sz w:val="16"/>
              </w:rPr>
              <w:t>+3</w:t>
            </w:r>
          </w:p>
        </w:tc>
        <w:tc>
          <w:tcPr>
            <w:tcW w:type="dxa" w:w="7488"/>
            <w:vAlign w:val="center"/>
            <w:shd w:fill="F4F7FA"/>
          </w:tcPr>
          <w:p>
            <w:pPr>
              <w:spacing w:after="0" w:before="0"/>
            </w:pPr>
            <w:r/>
            <w:r>
              <w:rPr>
                <w:rFonts w:ascii="Aptos" w:hAnsi="Aptos"/>
                <w:b w:val="0"/>
                <w:sz w:val="16"/>
              </w:rPr>
              <w:t>Late delivery 96.0%; Shipping canceled 4.0%</w:t>
            </w:r>
          </w:p>
        </w:tc>
      </w:tr>
      <w:tr>
        <w:tc>
          <w:tcPr>
            <w:tcW w:type="dxa" w:w="2088"/>
            <w:vAlign w:val="center"/>
          </w:tcPr>
          <w:p>
            <w:pPr>
              <w:spacing w:after="0" w:before="0"/>
            </w:pPr>
            <w:r/>
            <w:r>
              <w:rPr>
                <w:rFonts w:ascii="Aptos" w:hAnsi="Aptos"/>
                <w:b w:val="0"/>
                <w:sz w:val="16"/>
              </w:rPr>
              <w:t>+4</w:t>
            </w:r>
          </w:p>
        </w:tc>
        <w:tc>
          <w:tcPr>
            <w:tcW w:type="dxa" w:w="7488"/>
            <w:vAlign w:val="center"/>
          </w:tcPr>
          <w:p>
            <w:pPr>
              <w:spacing w:after="0" w:before="0"/>
            </w:pPr>
            <w:r/>
            <w:r>
              <w:rPr>
                <w:rFonts w:ascii="Aptos" w:hAnsi="Aptos"/>
                <w:b w:val="0"/>
                <w:sz w:val="16"/>
              </w:rPr>
              <w:t>Late delivery 95.9%; Shipping canceled 4.1%</w:t>
            </w:r>
          </w:p>
        </w:tc>
      </w:tr>
    </w:tbl>
    <w:p>
      <w:pPr>
        <w:spacing w:after="20"/>
      </w:pPr>
    </w:p>
    <w:p>
      <w:pPr>
        <w:spacing w:after="100" w:before="0"/>
      </w:pPr>
      <w:r>
        <w:rPr>
          <w:rFonts w:ascii="Aptos" w:hAnsi="Aptos"/>
          <w:i w:val="0"/>
          <w:sz w:val="20"/>
        </w:rPr>
        <w:t>The close alignment between schedule variance and delivery status is an internal consistency check, not independent causal evidence. The variables encode closely related timing information. For future modelling, using actual shipping duration or the derived difference to predict a status that is determined from the same outcome can create target leakage, depending on when those fields become available. Predictors must be restricted to information available at the intended prediction time.</w:t>
      </w:r>
    </w:p>
    <w:p>
      <w:pPr>
        <w:pStyle w:val="Heading1"/>
        <w:keepNext/>
      </w:pPr>
      <w:r>
        <w:rPr>
          <w:rFonts w:ascii="Aptos" w:hAnsi="Aptos"/>
          <w:b/>
          <w:color w:val="16324F"/>
          <w:sz w:val="32"/>
        </w:rPr>
        <w:t>6. Numerical Normalization</w:t>
      </w:r>
    </w:p>
    <w:p>
      <w:pPr>
        <w:spacing w:after="100" w:before="0"/>
      </w:pPr>
      <w:r>
        <w:rPr>
          <w:rFonts w:ascii="Aptos" w:hAnsi="Aptos"/>
          <w:i w:val="0"/>
          <w:sz w:val="20"/>
        </w:rPr>
        <w:t>Min-Max normalization transforms each selected feature to the range 0–1 using x_scaled = (x − x_min) / (x_max − x_min). It preserves the ordering of values within a feature while making their numerical ranges comparable. The scikit-learn documentation describes the same formula for MinMaxScaler and notes that scaling does not remove the influence of outliers [4].</w:t>
      </w:r>
    </w:p>
    <w:tbl>
      <w:tblPr>
        <w:tblW w:type="auto" w:w="0"/>
        <w:jc w:val="center"/>
        <w:tblLook w:firstColumn="1" w:firstRow="1" w:lastColumn="0" w:lastRow="0" w:noHBand="0" w:noVBand="1" w:val="04A0"/>
      </w:tblPr>
      <w:tblGrid>
        <w:gridCol w:w="9994"/>
      </w:tblGrid>
      <w:tr>
        <w:tc>
          <w:tcPr>
            <w:tcW w:type="dxa" w:w="9994"/>
            <w:shd w:fill="F1F4F7"/>
          </w:tcPr>
          <w:p>
            <w:pPr>
              <w:spacing w:after="0" w:before="0" w:line="240" w:lineRule="auto"/>
            </w:pPr>
            <w:r/>
            <w:r>
              <w:rPr>
                <w:rFonts w:ascii="Consolas" w:hAnsi="Consolas"/>
                <w:color w:val="243746"/>
                <w:sz w:val="15"/>
              </w:rPr>
              <w:t># Demonstration used for the separate Week 2 normalized output</w:t>
            </w:r>
          </w:p>
          <w:p>
            <w:pPr>
              <w:spacing w:after="0" w:before="0" w:line="240" w:lineRule="auto"/>
            </w:pPr>
            <w:r>
              <w:rPr>
                <w:rFonts w:ascii="Consolas" w:hAnsi="Consolas"/>
                <w:color w:val="243746"/>
                <w:sz w:val="15"/>
              </w:rPr>
              <w:t>numeric_for_scaling = df[numeric_columns].apply(pd.to_numeric, errors="coerce")</w:t>
            </w:r>
          </w:p>
          <w:p>
            <w:pPr>
              <w:spacing w:after="0" w:before="0" w:line="240" w:lineRule="auto"/>
            </w:pPr>
            <w:r>
              <w:rPr>
                <w:rFonts w:ascii="Consolas" w:hAnsi="Consolas"/>
                <w:color w:val="243746"/>
                <w:sz w:val="15"/>
              </w:rPr>
              <w:t>minimum = numeric_for_scaling.min()</w:t>
            </w:r>
          </w:p>
          <w:p>
            <w:pPr>
              <w:spacing w:after="0" w:before="0" w:line="240" w:lineRule="auto"/>
            </w:pPr>
            <w:r>
              <w:rPr>
                <w:rFonts w:ascii="Consolas" w:hAnsi="Consolas"/>
                <w:color w:val="243746"/>
                <w:sz w:val="15"/>
              </w:rPr>
              <w:t>maximum = numeric_for_scaling.max()</w:t>
            </w:r>
          </w:p>
          <w:p>
            <w:pPr>
              <w:spacing w:after="0" w:before="0" w:line="240" w:lineRule="auto"/>
            </w:pPr>
            <w:r>
              <w:rPr>
                <w:rFonts w:ascii="Consolas" w:hAnsi="Consolas"/>
                <w:color w:val="243746"/>
                <w:sz w:val="15"/>
              </w:rPr>
              <w:t>span = maximum - minimum</w:t>
            </w:r>
          </w:p>
          <w:p>
            <w:pPr>
              <w:spacing w:after="0" w:before="0" w:line="240" w:lineRule="auto"/>
            </w:pPr>
            <w:r>
              <w:rPr>
                <w:rFonts w:ascii="Consolas" w:hAnsi="Consolas"/>
                <w:color w:val="243746"/>
                <w:sz w:val="15"/>
              </w:rPr>
              <w:t>safe_span = span.mask(span.eq(0), 1)</w:t>
            </w:r>
          </w:p>
          <w:p>
            <w:pPr>
              <w:spacing w:after="0" w:before="0" w:line="240" w:lineRule="auto"/>
            </w:pPr>
            <w:r>
              <w:rPr>
                <w:rFonts w:ascii="Consolas" w:hAnsi="Consolas"/>
                <w:color w:val="243746"/>
                <w:sz w:val="15"/>
              </w:rPr>
              <w:t>normalized = (numeric_for_scaling - minimum) / safe_span</w:t>
            </w:r>
          </w:p>
          <w:p>
            <w:pPr>
              <w:spacing w:after="0" w:before="0" w:line="240" w:lineRule="auto"/>
            </w:pPr>
            <w:r>
              <w:rPr>
                <w:rFonts w:ascii="Consolas" w:hAnsi="Consolas"/>
                <w:color w:val="243746"/>
                <w:sz w:val="15"/>
              </w:rPr>
              <w:t>normalized = normalized.where(span.ne(0), 0)</w:t>
            </w:r>
          </w:p>
          <w:p>
            <w:pPr>
              <w:spacing w:after="0" w:before="0" w:line="240" w:lineRule="auto"/>
            </w:pPr>
            <w:r>
              <w:rPr>
                <w:rFonts w:ascii="Consolas" w:hAnsi="Consolas"/>
                <w:color w:val="243746"/>
                <w:sz w:val="15"/>
              </w:rPr>
              <w:t>normalized.to_csv("week2_normalized_features.csv", index=False)</w:t>
            </w:r>
          </w:p>
        </w:tc>
      </w:tr>
    </w:tbl>
    <w:p>
      <w:pPr>
        <w:spacing w:after="20"/>
      </w:pPr>
    </w:p>
    <w:tbl>
      <w:tblPr>
        <w:tblStyle w:val="TableGrid"/>
        <w:tblW w:type="auto" w:w="0"/>
        <w:jc w:val="center"/>
        <w:tblLook w:firstColumn="1" w:firstRow="1" w:lastColumn="0" w:lastRow="0" w:noHBand="0" w:noVBand="1" w:val="04A0"/>
      </w:tblPr>
      <w:tblGrid>
        <w:gridCol w:w="2498"/>
        <w:gridCol w:w="2498"/>
        <w:gridCol w:w="2498"/>
        <w:gridCol w:w="2498"/>
      </w:tblGrid>
      <w:tr>
        <w:trPr>
          <w:tblHeader w:val="true"/>
        </w:trPr>
        <w:tc>
          <w:tcPr>
            <w:tcW w:type="dxa" w:w="3672"/>
            <w:vAlign w:val="center"/>
            <w:shd w:fill="16324F"/>
          </w:tcPr>
          <w:p>
            <w:pPr>
              <w:spacing w:after="0" w:before="0"/>
            </w:pPr>
            <w:r/>
            <w:r>
              <w:rPr>
                <w:rFonts w:ascii="Aptos" w:hAnsi="Aptos"/>
                <w:b/>
                <w:color w:val="FFFFFF"/>
                <w:sz w:val="16"/>
              </w:rPr>
              <w:t>Feature</w:t>
            </w:r>
          </w:p>
        </w:tc>
        <w:tc>
          <w:tcPr>
            <w:tcW w:type="dxa" w:w="1872"/>
            <w:vAlign w:val="center"/>
            <w:shd w:fill="16324F"/>
          </w:tcPr>
          <w:p>
            <w:pPr>
              <w:spacing w:after="0" w:before="0"/>
            </w:pPr>
            <w:r/>
            <w:r>
              <w:rPr>
                <w:rFonts w:ascii="Aptos" w:hAnsi="Aptos"/>
                <w:b/>
                <w:color w:val="FFFFFF"/>
                <w:sz w:val="16"/>
              </w:rPr>
              <w:t>Original minimum</w:t>
            </w:r>
          </w:p>
        </w:tc>
        <w:tc>
          <w:tcPr>
            <w:tcW w:type="dxa" w:w="1872"/>
            <w:vAlign w:val="center"/>
            <w:shd w:fill="16324F"/>
          </w:tcPr>
          <w:p>
            <w:pPr>
              <w:spacing w:after="0" w:before="0"/>
            </w:pPr>
            <w:r/>
            <w:r>
              <w:rPr>
                <w:rFonts w:ascii="Aptos" w:hAnsi="Aptos"/>
                <w:b/>
                <w:color w:val="FFFFFF"/>
                <w:sz w:val="16"/>
              </w:rPr>
              <w:t>Original maximum</w:t>
            </w:r>
          </w:p>
        </w:tc>
        <w:tc>
          <w:tcPr>
            <w:tcW w:type="dxa" w:w="2160"/>
            <w:vAlign w:val="center"/>
            <w:shd w:fill="16324F"/>
          </w:tcPr>
          <w:p>
            <w:pPr>
              <w:spacing w:after="0" w:before="0"/>
            </w:pPr>
            <w:r/>
            <w:r>
              <w:rPr>
                <w:rFonts w:ascii="Aptos" w:hAnsi="Aptos"/>
                <w:b/>
                <w:color w:val="FFFFFF"/>
                <w:sz w:val="16"/>
              </w:rPr>
              <w:t>Observed normalized range</w:t>
            </w:r>
          </w:p>
        </w:tc>
      </w:tr>
      <w:tr>
        <w:tc>
          <w:tcPr>
            <w:tcW w:type="dxa" w:w="3672"/>
            <w:vAlign w:val="center"/>
          </w:tcPr>
          <w:p>
            <w:pPr>
              <w:spacing w:after="0" w:before="0"/>
            </w:pPr>
            <w:r/>
            <w:r>
              <w:rPr>
                <w:rFonts w:ascii="Aptos" w:hAnsi="Aptos"/>
                <w:b w:val="0"/>
                <w:sz w:val="16"/>
              </w:rPr>
              <w:t>Days for shipping (real)</w:t>
            </w:r>
          </w:p>
        </w:tc>
        <w:tc>
          <w:tcPr>
            <w:tcW w:type="dxa" w:w="1872"/>
            <w:vAlign w:val="center"/>
          </w:tcPr>
          <w:p>
            <w:pPr>
              <w:spacing w:after="0" w:before="0"/>
            </w:pPr>
            <w:r/>
            <w:r>
              <w:rPr>
                <w:rFonts w:ascii="Aptos" w:hAnsi="Aptos"/>
                <w:b w:val="0"/>
                <w:sz w:val="16"/>
              </w:rPr>
              <w:t>0.00</w:t>
            </w:r>
          </w:p>
        </w:tc>
        <w:tc>
          <w:tcPr>
            <w:tcW w:type="dxa" w:w="1872"/>
            <w:vAlign w:val="center"/>
          </w:tcPr>
          <w:p>
            <w:pPr>
              <w:spacing w:after="0" w:before="0"/>
            </w:pPr>
            <w:r/>
            <w:r>
              <w:rPr>
                <w:rFonts w:ascii="Aptos" w:hAnsi="Aptos"/>
                <w:b w:val="0"/>
                <w:sz w:val="16"/>
              </w:rPr>
              <w:t>6.00</w:t>
            </w:r>
          </w:p>
        </w:tc>
        <w:tc>
          <w:tcPr>
            <w:tcW w:type="dxa" w:w="2160"/>
            <w:vAlign w:val="center"/>
          </w:tcPr>
          <w:p>
            <w:pPr>
              <w:spacing w:after="0" w:before="0"/>
            </w:pPr>
            <w:r/>
            <w:r>
              <w:rPr>
                <w:rFonts w:ascii="Aptos" w:hAnsi="Aptos"/>
                <w:b w:val="0"/>
                <w:sz w:val="16"/>
              </w:rPr>
              <w:t>0.000–1.000</w:t>
            </w:r>
          </w:p>
        </w:tc>
      </w:tr>
      <w:tr>
        <w:tc>
          <w:tcPr>
            <w:tcW w:type="dxa" w:w="3672"/>
            <w:vAlign w:val="center"/>
            <w:shd w:fill="F4F7FA"/>
          </w:tcPr>
          <w:p>
            <w:pPr>
              <w:spacing w:after="0" w:before="0"/>
            </w:pPr>
            <w:r/>
            <w:r>
              <w:rPr>
                <w:rFonts w:ascii="Aptos" w:hAnsi="Aptos"/>
                <w:b w:val="0"/>
                <w:sz w:val="16"/>
              </w:rPr>
              <w:t>Days for shipment (scheduled)</w:t>
            </w:r>
          </w:p>
        </w:tc>
        <w:tc>
          <w:tcPr>
            <w:tcW w:type="dxa" w:w="1872"/>
            <w:vAlign w:val="center"/>
            <w:shd w:fill="F4F7FA"/>
          </w:tcPr>
          <w:p>
            <w:pPr>
              <w:spacing w:after="0" w:before="0"/>
            </w:pPr>
            <w:r/>
            <w:r>
              <w:rPr>
                <w:rFonts w:ascii="Aptos" w:hAnsi="Aptos"/>
                <w:b w:val="0"/>
                <w:sz w:val="16"/>
              </w:rPr>
              <w:t>0.00</w:t>
            </w:r>
          </w:p>
        </w:tc>
        <w:tc>
          <w:tcPr>
            <w:tcW w:type="dxa" w:w="1872"/>
            <w:vAlign w:val="center"/>
            <w:shd w:fill="F4F7FA"/>
          </w:tcPr>
          <w:p>
            <w:pPr>
              <w:spacing w:after="0" w:before="0"/>
            </w:pPr>
            <w:r/>
            <w:r>
              <w:rPr>
                <w:rFonts w:ascii="Aptos" w:hAnsi="Aptos"/>
                <w:b w:val="0"/>
                <w:sz w:val="16"/>
              </w:rPr>
              <w:t>4.00</w:t>
            </w:r>
          </w:p>
        </w:tc>
        <w:tc>
          <w:tcPr>
            <w:tcW w:type="dxa" w:w="2160"/>
            <w:vAlign w:val="center"/>
            <w:shd w:fill="F4F7FA"/>
          </w:tcPr>
          <w:p>
            <w:pPr>
              <w:spacing w:after="0" w:before="0"/>
            </w:pPr>
            <w:r/>
            <w:r>
              <w:rPr>
                <w:rFonts w:ascii="Aptos" w:hAnsi="Aptos"/>
                <w:b w:val="0"/>
                <w:sz w:val="16"/>
              </w:rPr>
              <w:t>0.000–1.000</w:t>
            </w:r>
          </w:p>
        </w:tc>
      </w:tr>
      <w:tr>
        <w:tc>
          <w:tcPr>
            <w:tcW w:type="dxa" w:w="3672"/>
            <w:vAlign w:val="center"/>
          </w:tcPr>
          <w:p>
            <w:pPr>
              <w:spacing w:after="0" w:before="0"/>
            </w:pPr>
            <w:r/>
            <w:r>
              <w:rPr>
                <w:rFonts w:ascii="Aptos" w:hAnsi="Aptos"/>
                <w:b w:val="0"/>
                <w:sz w:val="16"/>
              </w:rPr>
              <w:t>Shipping Delay Days</w:t>
            </w:r>
          </w:p>
        </w:tc>
        <w:tc>
          <w:tcPr>
            <w:tcW w:type="dxa" w:w="1872"/>
            <w:vAlign w:val="center"/>
          </w:tcPr>
          <w:p>
            <w:pPr>
              <w:spacing w:after="0" w:before="0"/>
            </w:pPr>
            <w:r/>
            <w:r>
              <w:rPr>
                <w:rFonts w:ascii="Aptos" w:hAnsi="Aptos"/>
                <w:b w:val="0"/>
                <w:sz w:val="16"/>
              </w:rPr>
              <w:t>-2.00</w:t>
            </w:r>
          </w:p>
        </w:tc>
        <w:tc>
          <w:tcPr>
            <w:tcW w:type="dxa" w:w="1872"/>
            <w:vAlign w:val="center"/>
          </w:tcPr>
          <w:p>
            <w:pPr>
              <w:spacing w:after="0" w:before="0"/>
            </w:pPr>
            <w:r/>
            <w:r>
              <w:rPr>
                <w:rFonts w:ascii="Aptos" w:hAnsi="Aptos"/>
                <w:b w:val="0"/>
                <w:sz w:val="16"/>
              </w:rPr>
              <w:t>4.00</w:t>
            </w:r>
          </w:p>
        </w:tc>
        <w:tc>
          <w:tcPr>
            <w:tcW w:type="dxa" w:w="2160"/>
            <w:vAlign w:val="center"/>
          </w:tcPr>
          <w:p>
            <w:pPr>
              <w:spacing w:after="0" w:before="0"/>
            </w:pPr>
            <w:r/>
            <w:r>
              <w:rPr>
                <w:rFonts w:ascii="Aptos" w:hAnsi="Aptos"/>
                <w:b w:val="0"/>
                <w:sz w:val="16"/>
              </w:rPr>
              <w:t>0.000–1.000</w:t>
            </w:r>
          </w:p>
        </w:tc>
      </w:tr>
      <w:tr>
        <w:tc>
          <w:tcPr>
            <w:tcW w:type="dxa" w:w="3672"/>
            <w:vAlign w:val="center"/>
            <w:shd w:fill="F4F7FA"/>
          </w:tcPr>
          <w:p>
            <w:pPr>
              <w:spacing w:after="0" w:before="0"/>
            </w:pPr>
            <w:r/>
            <w:r>
              <w:rPr>
                <w:rFonts w:ascii="Aptos" w:hAnsi="Aptos"/>
                <w:b w:val="0"/>
                <w:sz w:val="16"/>
              </w:rPr>
              <w:t>Order Item Quantity</w:t>
            </w:r>
          </w:p>
        </w:tc>
        <w:tc>
          <w:tcPr>
            <w:tcW w:type="dxa" w:w="1872"/>
            <w:vAlign w:val="center"/>
            <w:shd w:fill="F4F7FA"/>
          </w:tcPr>
          <w:p>
            <w:pPr>
              <w:spacing w:after="0" w:before="0"/>
            </w:pPr>
            <w:r/>
            <w:r>
              <w:rPr>
                <w:rFonts w:ascii="Aptos" w:hAnsi="Aptos"/>
                <w:b w:val="0"/>
                <w:sz w:val="16"/>
              </w:rPr>
              <w:t>1.00</w:t>
            </w:r>
          </w:p>
        </w:tc>
        <w:tc>
          <w:tcPr>
            <w:tcW w:type="dxa" w:w="1872"/>
            <w:vAlign w:val="center"/>
            <w:shd w:fill="F4F7FA"/>
          </w:tcPr>
          <w:p>
            <w:pPr>
              <w:spacing w:after="0" w:before="0"/>
            </w:pPr>
            <w:r/>
            <w:r>
              <w:rPr>
                <w:rFonts w:ascii="Aptos" w:hAnsi="Aptos"/>
                <w:b w:val="0"/>
                <w:sz w:val="16"/>
              </w:rPr>
              <w:t>5.00</w:t>
            </w:r>
          </w:p>
        </w:tc>
        <w:tc>
          <w:tcPr>
            <w:tcW w:type="dxa" w:w="2160"/>
            <w:vAlign w:val="center"/>
            <w:shd w:fill="F4F7FA"/>
          </w:tcPr>
          <w:p>
            <w:pPr>
              <w:spacing w:after="0" w:before="0"/>
            </w:pPr>
            <w:r/>
            <w:r>
              <w:rPr>
                <w:rFonts w:ascii="Aptos" w:hAnsi="Aptos"/>
                <w:b w:val="0"/>
                <w:sz w:val="16"/>
              </w:rPr>
              <w:t>0.000–1.000</w:t>
            </w:r>
          </w:p>
        </w:tc>
      </w:tr>
      <w:tr>
        <w:tc>
          <w:tcPr>
            <w:tcW w:type="dxa" w:w="3672"/>
            <w:vAlign w:val="center"/>
          </w:tcPr>
          <w:p>
            <w:pPr>
              <w:spacing w:after="0" w:before="0"/>
            </w:pPr>
            <w:r/>
            <w:r>
              <w:rPr>
                <w:rFonts w:ascii="Aptos" w:hAnsi="Aptos"/>
                <w:b w:val="0"/>
                <w:sz w:val="16"/>
              </w:rPr>
              <w:t>Order Item Product Price</w:t>
            </w:r>
          </w:p>
        </w:tc>
        <w:tc>
          <w:tcPr>
            <w:tcW w:type="dxa" w:w="1872"/>
            <w:vAlign w:val="center"/>
          </w:tcPr>
          <w:p>
            <w:pPr>
              <w:spacing w:after="0" w:before="0"/>
            </w:pPr>
            <w:r/>
            <w:r>
              <w:rPr>
                <w:rFonts w:ascii="Aptos" w:hAnsi="Aptos"/>
                <w:b w:val="0"/>
                <w:sz w:val="16"/>
              </w:rPr>
              <w:t>9.99</w:t>
            </w:r>
          </w:p>
        </w:tc>
        <w:tc>
          <w:tcPr>
            <w:tcW w:type="dxa" w:w="1872"/>
            <w:vAlign w:val="center"/>
          </w:tcPr>
          <w:p>
            <w:pPr>
              <w:spacing w:after="0" w:before="0"/>
            </w:pPr>
            <w:r/>
            <w:r>
              <w:rPr>
                <w:rFonts w:ascii="Aptos" w:hAnsi="Aptos"/>
                <w:b w:val="0"/>
                <w:sz w:val="16"/>
              </w:rPr>
              <w:t>1,999.99</w:t>
            </w:r>
          </w:p>
        </w:tc>
        <w:tc>
          <w:tcPr>
            <w:tcW w:type="dxa" w:w="2160"/>
            <w:vAlign w:val="center"/>
          </w:tcPr>
          <w:p>
            <w:pPr>
              <w:spacing w:after="0" w:before="0"/>
            </w:pPr>
            <w:r/>
            <w:r>
              <w:rPr>
                <w:rFonts w:ascii="Aptos" w:hAnsi="Aptos"/>
                <w:b w:val="0"/>
                <w:sz w:val="16"/>
              </w:rPr>
              <w:t>0.000–1.000</w:t>
            </w:r>
          </w:p>
        </w:tc>
      </w:tr>
      <w:tr>
        <w:tc>
          <w:tcPr>
            <w:tcW w:type="dxa" w:w="3672"/>
            <w:vAlign w:val="center"/>
            <w:shd w:fill="F4F7FA"/>
          </w:tcPr>
          <w:p>
            <w:pPr>
              <w:spacing w:after="0" w:before="0"/>
            </w:pPr>
            <w:r/>
            <w:r>
              <w:rPr>
                <w:rFonts w:ascii="Aptos" w:hAnsi="Aptos"/>
                <w:b w:val="0"/>
                <w:sz w:val="16"/>
              </w:rPr>
              <w:t>Order Item Total</w:t>
            </w:r>
          </w:p>
        </w:tc>
        <w:tc>
          <w:tcPr>
            <w:tcW w:type="dxa" w:w="1872"/>
            <w:vAlign w:val="center"/>
            <w:shd w:fill="F4F7FA"/>
          </w:tcPr>
          <w:p>
            <w:pPr>
              <w:spacing w:after="0" w:before="0"/>
            </w:pPr>
            <w:r/>
            <w:r>
              <w:rPr>
                <w:rFonts w:ascii="Aptos" w:hAnsi="Aptos"/>
                <w:b w:val="0"/>
                <w:sz w:val="16"/>
              </w:rPr>
              <w:t>7.49</w:t>
            </w:r>
          </w:p>
        </w:tc>
        <w:tc>
          <w:tcPr>
            <w:tcW w:type="dxa" w:w="1872"/>
            <w:vAlign w:val="center"/>
            <w:shd w:fill="F4F7FA"/>
          </w:tcPr>
          <w:p>
            <w:pPr>
              <w:spacing w:after="0" w:before="0"/>
            </w:pPr>
            <w:r/>
            <w:r>
              <w:rPr>
                <w:rFonts w:ascii="Aptos" w:hAnsi="Aptos"/>
                <w:b w:val="0"/>
                <w:sz w:val="16"/>
              </w:rPr>
              <w:t>1,939.99</w:t>
            </w:r>
          </w:p>
        </w:tc>
        <w:tc>
          <w:tcPr>
            <w:tcW w:type="dxa" w:w="2160"/>
            <w:vAlign w:val="center"/>
            <w:shd w:fill="F4F7FA"/>
          </w:tcPr>
          <w:p>
            <w:pPr>
              <w:spacing w:after="0" w:before="0"/>
            </w:pPr>
            <w:r/>
            <w:r>
              <w:rPr>
                <w:rFonts w:ascii="Aptos" w:hAnsi="Aptos"/>
                <w:b w:val="0"/>
                <w:sz w:val="16"/>
              </w:rPr>
              <w:t>0.000–1.000</w:t>
            </w:r>
          </w:p>
        </w:tc>
      </w:tr>
      <w:tr>
        <w:tc>
          <w:tcPr>
            <w:tcW w:type="dxa" w:w="3672"/>
            <w:vAlign w:val="center"/>
          </w:tcPr>
          <w:p>
            <w:pPr>
              <w:spacing w:after="0" w:before="0"/>
            </w:pPr>
            <w:r/>
            <w:r>
              <w:rPr>
                <w:rFonts w:ascii="Aptos" w:hAnsi="Aptos"/>
                <w:b w:val="0"/>
                <w:sz w:val="16"/>
              </w:rPr>
              <w:t>Sales</w:t>
            </w:r>
          </w:p>
        </w:tc>
        <w:tc>
          <w:tcPr>
            <w:tcW w:type="dxa" w:w="1872"/>
            <w:vAlign w:val="center"/>
          </w:tcPr>
          <w:p>
            <w:pPr>
              <w:spacing w:after="0" w:before="0"/>
            </w:pPr>
            <w:r/>
            <w:r>
              <w:rPr>
                <w:rFonts w:ascii="Aptos" w:hAnsi="Aptos"/>
                <w:b w:val="0"/>
                <w:sz w:val="16"/>
              </w:rPr>
              <w:t>9.99</w:t>
            </w:r>
          </w:p>
        </w:tc>
        <w:tc>
          <w:tcPr>
            <w:tcW w:type="dxa" w:w="1872"/>
            <w:vAlign w:val="center"/>
          </w:tcPr>
          <w:p>
            <w:pPr>
              <w:spacing w:after="0" w:before="0"/>
            </w:pPr>
            <w:r/>
            <w:r>
              <w:rPr>
                <w:rFonts w:ascii="Aptos" w:hAnsi="Aptos"/>
                <w:b w:val="0"/>
                <w:sz w:val="16"/>
              </w:rPr>
              <w:t>1,999.99</w:t>
            </w:r>
          </w:p>
        </w:tc>
        <w:tc>
          <w:tcPr>
            <w:tcW w:type="dxa" w:w="2160"/>
            <w:vAlign w:val="center"/>
          </w:tcPr>
          <w:p>
            <w:pPr>
              <w:spacing w:after="0" w:before="0"/>
            </w:pPr>
            <w:r/>
            <w:r>
              <w:rPr>
                <w:rFonts w:ascii="Aptos" w:hAnsi="Aptos"/>
                <w:b w:val="0"/>
                <w:sz w:val="16"/>
              </w:rPr>
              <w:t>0.000–1.000</w:t>
            </w:r>
          </w:p>
        </w:tc>
      </w:tr>
      <w:tr>
        <w:tc>
          <w:tcPr>
            <w:tcW w:type="dxa" w:w="3672"/>
            <w:vAlign w:val="center"/>
            <w:shd w:fill="F4F7FA"/>
          </w:tcPr>
          <w:p>
            <w:pPr>
              <w:spacing w:after="0" w:before="0"/>
            </w:pPr>
            <w:r/>
            <w:r>
              <w:rPr>
                <w:rFonts w:ascii="Aptos" w:hAnsi="Aptos"/>
                <w:b w:val="0"/>
                <w:sz w:val="16"/>
              </w:rPr>
              <w:t>Order Item Profit Ratio</w:t>
            </w:r>
          </w:p>
        </w:tc>
        <w:tc>
          <w:tcPr>
            <w:tcW w:type="dxa" w:w="1872"/>
            <w:vAlign w:val="center"/>
            <w:shd w:fill="F4F7FA"/>
          </w:tcPr>
          <w:p>
            <w:pPr>
              <w:spacing w:after="0" w:before="0"/>
            </w:pPr>
            <w:r/>
            <w:r>
              <w:rPr>
                <w:rFonts w:ascii="Aptos" w:hAnsi="Aptos"/>
                <w:b w:val="0"/>
                <w:sz w:val="16"/>
              </w:rPr>
              <w:t>-2.75</w:t>
            </w:r>
          </w:p>
        </w:tc>
        <w:tc>
          <w:tcPr>
            <w:tcW w:type="dxa" w:w="1872"/>
            <w:vAlign w:val="center"/>
            <w:shd w:fill="F4F7FA"/>
          </w:tcPr>
          <w:p>
            <w:pPr>
              <w:spacing w:after="0" w:before="0"/>
            </w:pPr>
            <w:r/>
            <w:r>
              <w:rPr>
                <w:rFonts w:ascii="Aptos" w:hAnsi="Aptos"/>
                <w:b w:val="0"/>
                <w:sz w:val="16"/>
              </w:rPr>
              <w:t>0.50</w:t>
            </w:r>
          </w:p>
        </w:tc>
        <w:tc>
          <w:tcPr>
            <w:tcW w:type="dxa" w:w="2160"/>
            <w:vAlign w:val="center"/>
            <w:shd w:fill="F4F7FA"/>
          </w:tcPr>
          <w:p>
            <w:pPr>
              <w:spacing w:after="0" w:before="0"/>
            </w:pPr>
            <w:r/>
            <w:r>
              <w:rPr>
                <w:rFonts w:ascii="Aptos" w:hAnsi="Aptos"/>
                <w:b w:val="0"/>
                <w:sz w:val="16"/>
              </w:rPr>
              <w:t>0.000–1.000</w:t>
            </w:r>
          </w:p>
        </w:tc>
      </w:tr>
    </w:tbl>
    <w:p>
      <w:pPr>
        <w:spacing w:after="20"/>
      </w:pPr>
    </w:p>
    <w:p>
      <w:r>
        <w:drawing>
          <wp:inline xmlns:a="http://schemas.openxmlformats.org/drawingml/2006/main" xmlns:pic="http://schemas.openxmlformats.org/drawingml/2006/picture">
            <wp:extent cx="5989320" cy="2795796"/>
            <wp:docPr id="4" name="Picture 4"/>
            <wp:cNvGraphicFramePr>
              <a:graphicFrameLocks noChangeAspect="1"/>
            </wp:cNvGraphicFramePr>
            <a:graphic>
              <a:graphicData uri="http://schemas.openxmlformats.org/drawingml/2006/picture">
                <pic:pic>
                  <pic:nvPicPr>
                    <pic:cNvPr id="0" name="fig4_normalized_features.png"/>
                    <pic:cNvPicPr/>
                  </pic:nvPicPr>
                  <pic:blipFill>
                    <a:blip r:embed="rId14"/>
                    <a:stretch>
                      <a:fillRect/>
                    </a:stretch>
                  </pic:blipFill>
                  <pic:spPr>
                    <a:xfrm>
                      <a:off x="0" y="0"/>
                      <a:ext cx="5989320" cy="2795796"/>
                    </a:xfrm>
                    <a:prstGeom prst="rect"/>
                  </pic:spPr>
                </pic:pic>
              </a:graphicData>
            </a:graphic>
          </wp:inline>
        </w:drawing>
      </w:r>
    </w:p>
    <w:p>
      <w:pPr>
        <w:spacing w:before="40" w:after="160"/>
        <w:jc w:val="center"/>
      </w:pPr>
      <w:r>
        <w:rPr>
          <w:i/>
          <w:color w:val="5C6770"/>
          <w:sz w:val="17"/>
        </w:rPr>
        <w:t>Figure 4. Box plots of the eight Min-Max-normalized numeric features. Fliers are hidden in this visual for legibility; the normalized output itself retains the values.</w:t>
      </w:r>
    </w:p>
    <w:p>
      <w:pPr>
        <w:pStyle w:val="Heading2"/>
        <w:keepNext/>
      </w:pPr>
      <w:r>
        <w:rPr>
          <w:rFonts w:ascii="Aptos" w:hAnsi="Aptos"/>
          <w:b/>
          <w:color w:val="007C91"/>
          <w:sz w:val="25"/>
        </w:rPr>
        <w:t>6.1 Important limitation for later machine learning</w:t>
      </w:r>
    </w:p>
    <w:p>
      <w:pPr>
        <w:spacing w:after="100" w:before="0"/>
      </w:pPr>
      <w:r>
        <w:rPr>
          <w:rFonts w:ascii="Aptos" w:hAnsi="Aptos"/>
          <w:i w:val="0"/>
          <w:sz w:val="20"/>
        </w:rPr>
        <w:t>In this Week 2 demonstration, the min and max were calculated from all 180,519 rows to produce an exploratory normalized file. This is acceptable as an illustration of the transformation, but it must not be reused unchanged as the evaluation setup for a predictive model. For future modelling, split the data first, fit the scaler on training records only, and transform validation/test records using those training-set parameters. Scikit-learn identifies fitting preprocessing on the full dataset as a form of leakage that can bias evaluation [5].</w:t>
      </w:r>
    </w:p>
    <w:p>
      <w:pPr>
        <w:pStyle w:val="Heading1"/>
        <w:keepNext/>
      </w:pPr>
      <w:r>
        <w:rPr>
          <w:rFonts w:ascii="Aptos" w:hAnsi="Aptos"/>
          <w:b/>
          <w:color w:val="16324F"/>
          <w:sz w:val="32"/>
        </w:rPr>
        <w:t>7. Post-Cleaning Validation</w:t>
      </w:r>
    </w:p>
    <w:p>
      <w:pPr>
        <w:spacing w:after="100" w:before="0"/>
      </w:pPr>
      <w:r>
        <w:rPr>
          <w:rFonts w:ascii="Aptos" w:hAnsi="Aptos"/>
          <w:i w:val="0"/>
          <w:sz w:val="20"/>
        </w:rPr>
        <w:t>The cleaned data and normalized output were checked after the pipeline finished. All the checks below were run locally against the generated CSV files.</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4104"/>
            <w:vAlign w:val="center"/>
            <w:shd w:fill="16324F"/>
          </w:tcPr>
          <w:p>
            <w:pPr>
              <w:spacing w:after="0" w:before="0"/>
            </w:pPr>
            <w:r/>
            <w:r>
              <w:rPr>
                <w:rFonts w:ascii="Aptos" w:hAnsi="Aptos"/>
                <w:b/>
                <w:color w:val="FFFFFF"/>
                <w:sz w:val="16"/>
              </w:rPr>
              <w:t>Validation check</w:t>
            </w:r>
          </w:p>
        </w:tc>
        <w:tc>
          <w:tcPr>
            <w:tcW w:type="dxa" w:w="3888"/>
            <w:vAlign w:val="center"/>
            <w:shd w:fill="16324F"/>
          </w:tcPr>
          <w:p>
            <w:pPr>
              <w:spacing w:after="0" w:before="0"/>
            </w:pPr>
            <w:r/>
            <w:r>
              <w:rPr>
                <w:rFonts w:ascii="Aptos" w:hAnsi="Aptos"/>
                <w:b/>
                <w:color w:val="FFFFFF"/>
                <w:sz w:val="16"/>
              </w:rPr>
              <w:t>Observed result</w:t>
            </w:r>
          </w:p>
        </w:tc>
        <w:tc>
          <w:tcPr>
            <w:tcW w:type="dxa" w:w="1584"/>
            <w:vAlign w:val="center"/>
            <w:shd w:fill="16324F"/>
          </w:tcPr>
          <w:p>
            <w:pPr>
              <w:spacing w:after="0" w:before="0"/>
            </w:pPr>
            <w:r/>
            <w:r>
              <w:rPr>
                <w:rFonts w:ascii="Aptos" w:hAnsi="Aptos"/>
                <w:b/>
                <w:color w:val="FFFFFF"/>
                <w:sz w:val="16"/>
              </w:rPr>
              <w:t>Status</w:t>
            </w:r>
          </w:p>
        </w:tc>
      </w:tr>
      <w:tr>
        <w:tc>
          <w:tcPr>
            <w:tcW w:type="dxa" w:w="4104"/>
            <w:vAlign w:val="center"/>
          </w:tcPr>
          <w:p>
            <w:pPr>
              <w:spacing w:after="0" w:before="0"/>
            </w:pPr>
            <w:r/>
            <w:r>
              <w:rPr>
                <w:rFonts w:ascii="Aptos" w:hAnsi="Aptos"/>
                <w:b w:val="0"/>
                <w:sz w:val="16"/>
              </w:rPr>
              <w:t>Cleaned dataset shape</w:t>
            </w:r>
          </w:p>
        </w:tc>
        <w:tc>
          <w:tcPr>
            <w:tcW w:type="dxa" w:w="3888"/>
            <w:vAlign w:val="center"/>
          </w:tcPr>
          <w:p>
            <w:pPr>
              <w:spacing w:after="0" w:before="0"/>
            </w:pPr>
            <w:r/>
            <w:r>
              <w:rPr>
                <w:rFonts w:ascii="Aptos" w:hAnsi="Aptos"/>
                <w:b w:val="0"/>
                <w:sz w:val="16"/>
              </w:rPr>
              <w:t>180,519 × 46</w:t>
            </w:r>
          </w:p>
        </w:tc>
        <w:tc>
          <w:tcPr>
            <w:tcW w:type="dxa" w:w="1584"/>
            <w:vAlign w:val="center"/>
          </w:tcPr>
          <w:p>
            <w:pPr>
              <w:spacing w:after="0" w:before="0"/>
            </w:pPr>
            <w:r/>
            <w:r>
              <w:rPr>
                <w:rFonts w:ascii="Aptos" w:hAnsi="Aptos"/>
                <w:b w:val="0"/>
                <w:sz w:val="16"/>
              </w:rPr>
              <w:t>Pass</w:t>
            </w:r>
          </w:p>
        </w:tc>
      </w:tr>
      <w:tr>
        <w:tc>
          <w:tcPr>
            <w:tcW w:type="dxa" w:w="4104"/>
            <w:vAlign w:val="center"/>
            <w:shd w:fill="F4F7FA"/>
          </w:tcPr>
          <w:p>
            <w:pPr>
              <w:spacing w:after="0" w:before="0"/>
            </w:pPr>
            <w:r/>
            <w:r>
              <w:rPr>
                <w:rFonts w:ascii="Aptos" w:hAnsi="Aptos"/>
                <w:b w:val="0"/>
                <w:sz w:val="16"/>
              </w:rPr>
              <w:t>Missing cells in cleaned data</w:t>
            </w:r>
          </w:p>
        </w:tc>
        <w:tc>
          <w:tcPr>
            <w:tcW w:type="dxa" w:w="3888"/>
            <w:vAlign w:val="center"/>
            <w:shd w:fill="F4F7FA"/>
          </w:tcPr>
          <w:p>
            <w:pPr>
              <w:spacing w:after="0" w:before="0"/>
            </w:pPr>
            <w:r/>
            <w:r>
              <w:rPr>
                <w:rFonts w:ascii="Aptos" w:hAnsi="Aptos"/>
                <w:b w:val="0"/>
                <w:sz w:val="16"/>
              </w:rPr>
              <w:t>0</w:t>
            </w:r>
          </w:p>
        </w:tc>
        <w:tc>
          <w:tcPr>
            <w:tcW w:type="dxa" w:w="1584"/>
            <w:vAlign w:val="center"/>
            <w:shd w:fill="F4F7FA"/>
          </w:tcPr>
          <w:p>
            <w:pPr>
              <w:spacing w:after="0" w:before="0"/>
            </w:pPr>
            <w:r/>
            <w:r>
              <w:rPr>
                <w:rFonts w:ascii="Aptos" w:hAnsi="Aptos"/>
                <w:b w:val="0"/>
                <w:sz w:val="16"/>
              </w:rPr>
              <w:t>Pass</w:t>
            </w:r>
          </w:p>
        </w:tc>
      </w:tr>
      <w:tr>
        <w:tc>
          <w:tcPr>
            <w:tcW w:type="dxa" w:w="4104"/>
            <w:vAlign w:val="center"/>
          </w:tcPr>
          <w:p>
            <w:pPr>
              <w:spacing w:after="0" w:before="0"/>
            </w:pPr>
            <w:r/>
            <w:r>
              <w:rPr>
                <w:rFonts w:ascii="Aptos" w:hAnsi="Aptos"/>
                <w:b w:val="0"/>
                <w:sz w:val="16"/>
              </w:rPr>
              <w:t>Exact duplicate rows in cleaned data</w:t>
            </w:r>
          </w:p>
        </w:tc>
        <w:tc>
          <w:tcPr>
            <w:tcW w:type="dxa" w:w="3888"/>
            <w:vAlign w:val="center"/>
          </w:tcPr>
          <w:p>
            <w:pPr>
              <w:spacing w:after="0" w:before="0"/>
            </w:pPr>
            <w:r/>
            <w:r>
              <w:rPr>
                <w:rFonts w:ascii="Aptos" w:hAnsi="Aptos"/>
                <w:b w:val="0"/>
                <w:sz w:val="16"/>
              </w:rPr>
              <w:t>0</w:t>
            </w:r>
          </w:p>
        </w:tc>
        <w:tc>
          <w:tcPr>
            <w:tcW w:type="dxa" w:w="1584"/>
            <w:vAlign w:val="center"/>
          </w:tcPr>
          <w:p>
            <w:pPr>
              <w:spacing w:after="0" w:before="0"/>
            </w:pPr>
            <w:r/>
            <w:r>
              <w:rPr>
                <w:rFonts w:ascii="Aptos" w:hAnsi="Aptos"/>
                <w:b w:val="0"/>
                <w:sz w:val="16"/>
              </w:rPr>
              <w:t>Pass</w:t>
            </w:r>
          </w:p>
        </w:tc>
      </w:tr>
      <w:tr>
        <w:tc>
          <w:tcPr>
            <w:tcW w:type="dxa" w:w="4104"/>
            <w:vAlign w:val="center"/>
            <w:shd w:fill="F4F7FA"/>
          </w:tcPr>
          <w:p>
            <w:pPr>
              <w:spacing w:after="0" w:before="0"/>
            </w:pPr>
            <w:r/>
            <w:r>
              <w:rPr>
                <w:rFonts w:ascii="Aptos" w:hAnsi="Aptos"/>
                <w:b w:val="0"/>
                <w:sz w:val="16"/>
              </w:rPr>
              <w:t>Delay formula mismatches</w:t>
            </w:r>
          </w:p>
        </w:tc>
        <w:tc>
          <w:tcPr>
            <w:tcW w:type="dxa" w:w="3888"/>
            <w:vAlign w:val="center"/>
            <w:shd w:fill="F4F7FA"/>
          </w:tcPr>
          <w:p>
            <w:pPr>
              <w:spacing w:after="0" w:before="0"/>
            </w:pPr>
            <w:r/>
            <w:r>
              <w:rPr>
                <w:rFonts w:ascii="Aptos" w:hAnsi="Aptos"/>
                <w:b w:val="0"/>
                <w:sz w:val="16"/>
              </w:rPr>
              <w:t>0</w:t>
            </w:r>
          </w:p>
        </w:tc>
        <w:tc>
          <w:tcPr>
            <w:tcW w:type="dxa" w:w="1584"/>
            <w:vAlign w:val="center"/>
            <w:shd w:fill="F4F7FA"/>
          </w:tcPr>
          <w:p>
            <w:pPr>
              <w:spacing w:after="0" w:before="0"/>
            </w:pPr>
            <w:r/>
            <w:r>
              <w:rPr>
                <w:rFonts w:ascii="Aptos" w:hAnsi="Aptos"/>
                <w:b w:val="0"/>
                <w:sz w:val="16"/>
              </w:rPr>
              <w:t>Pass</w:t>
            </w:r>
          </w:p>
        </w:tc>
      </w:tr>
      <w:tr>
        <w:tc>
          <w:tcPr>
            <w:tcW w:type="dxa" w:w="4104"/>
            <w:vAlign w:val="center"/>
          </w:tcPr>
          <w:p>
            <w:pPr>
              <w:spacing w:after="0" w:before="0"/>
            </w:pPr>
            <w:r/>
            <w:r>
              <w:rPr>
                <w:rFonts w:ascii="Aptos" w:hAnsi="Aptos"/>
                <w:b w:val="0"/>
                <w:sz w:val="16"/>
              </w:rPr>
              <w:t>Negative actual shipping days</w:t>
            </w:r>
          </w:p>
        </w:tc>
        <w:tc>
          <w:tcPr>
            <w:tcW w:type="dxa" w:w="3888"/>
            <w:vAlign w:val="center"/>
          </w:tcPr>
          <w:p>
            <w:pPr>
              <w:spacing w:after="0" w:before="0"/>
            </w:pPr>
            <w:r/>
            <w:r>
              <w:rPr>
                <w:rFonts w:ascii="Aptos" w:hAnsi="Aptos"/>
                <w:b w:val="0"/>
                <w:sz w:val="16"/>
              </w:rPr>
              <w:t>0</w:t>
            </w:r>
          </w:p>
        </w:tc>
        <w:tc>
          <w:tcPr>
            <w:tcW w:type="dxa" w:w="1584"/>
            <w:vAlign w:val="center"/>
          </w:tcPr>
          <w:p>
            <w:pPr>
              <w:spacing w:after="0" w:before="0"/>
            </w:pPr>
            <w:r/>
            <w:r>
              <w:rPr>
                <w:rFonts w:ascii="Aptos" w:hAnsi="Aptos"/>
                <w:b w:val="0"/>
                <w:sz w:val="16"/>
              </w:rPr>
              <w:t>Pass</w:t>
            </w:r>
          </w:p>
        </w:tc>
      </w:tr>
      <w:tr>
        <w:tc>
          <w:tcPr>
            <w:tcW w:type="dxa" w:w="4104"/>
            <w:vAlign w:val="center"/>
            <w:shd w:fill="F4F7FA"/>
          </w:tcPr>
          <w:p>
            <w:pPr>
              <w:spacing w:after="0" w:before="0"/>
            </w:pPr>
            <w:r/>
            <w:r>
              <w:rPr>
                <w:rFonts w:ascii="Aptos" w:hAnsi="Aptos"/>
                <w:b w:val="0"/>
                <w:sz w:val="16"/>
              </w:rPr>
              <w:t>Negative scheduled shipping days</w:t>
            </w:r>
          </w:p>
        </w:tc>
        <w:tc>
          <w:tcPr>
            <w:tcW w:type="dxa" w:w="3888"/>
            <w:vAlign w:val="center"/>
            <w:shd w:fill="F4F7FA"/>
          </w:tcPr>
          <w:p>
            <w:pPr>
              <w:spacing w:after="0" w:before="0"/>
            </w:pPr>
            <w:r/>
            <w:r>
              <w:rPr>
                <w:rFonts w:ascii="Aptos" w:hAnsi="Aptos"/>
                <w:b w:val="0"/>
                <w:sz w:val="16"/>
              </w:rPr>
              <w:t>0</w:t>
            </w:r>
          </w:p>
        </w:tc>
        <w:tc>
          <w:tcPr>
            <w:tcW w:type="dxa" w:w="1584"/>
            <w:vAlign w:val="center"/>
            <w:shd w:fill="F4F7FA"/>
          </w:tcPr>
          <w:p>
            <w:pPr>
              <w:spacing w:after="0" w:before="0"/>
            </w:pPr>
            <w:r/>
            <w:r>
              <w:rPr>
                <w:rFonts w:ascii="Aptos" w:hAnsi="Aptos"/>
                <w:b w:val="0"/>
                <w:sz w:val="16"/>
              </w:rPr>
              <w:t>Pass</w:t>
            </w:r>
          </w:p>
        </w:tc>
      </w:tr>
      <w:tr>
        <w:tc>
          <w:tcPr>
            <w:tcW w:type="dxa" w:w="4104"/>
            <w:vAlign w:val="center"/>
          </w:tcPr>
          <w:p>
            <w:pPr>
              <w:spacing w:after="0" w:before="0"/>
            </w:pPr>
            <w:r/>
            <w:r>
              <w:rPr>
                <w:rFonts w:ascii="Aptos" w:hAnsi="Aptos"/>
                <w:b w:val="0"/>
                <w:sz w:val="16"/>
              </w:rPr>
              <w:t>Normalized output shape</w:t>
            </w:r>
          </w:p>
        </w:tc>
        <w:tc>
          <w:tcPr>
            <w:tcW w:type="dxa" w:w="3888"/>
            <w:vAlign w:val="center"/>
          </w:tcPr>
          <w:p>
            <w:pPr>
              <w:spacing w:after="0" w:before="0"/>
            </w:pPr>
            <w:r/>
            <w:r>
              <w:rPr>
                <w:rFonts w:ascii="Aptos" w:hAnsi="Aptos"/>
                <w:b w:val="0"/>
                <w:sz w:val="16"/>
              </w:rPr>
              <w:t>180,519 × 8</w:t>
            </w:r>
          </w:p>
        </w:tc>
        <w:tc>
          <w:tcPr>
            <w:tcW w:type="dxa" w:w="1584"/>
            <w:vAlign w:val="center"/>
          </w:tcPr>
          <w:p>
            <w:pPr>
              <w:spacing w:after="0" w:before="0"/>
            </w:pPr>
            <w:r/>
            <w:r>
              <w:rPr>
                <w:rFonts w:ascii="Aptos" w:hAnsi="Aptos"/>
                <w:b w:val="0"/>
                <w:sz w:val="16"/>
              </w:rPr>
              <w:t>Pass</w:t>
            </w:r>
          </w:p>
        </w:tc>
      </w:tr>
      <w:tr>
        <w:tc>
          <w:tcPr>
            <w:tcW w:type="dxa" w:w="4104"/>
            <w:vAlign w:val="center"/>
            <w:shd w:fill="F4F7FA"/>
          </w:tcPr>
          <w:p>
            <w:pPr>
              <w:spacing w:after="0" w:before="0"/>
            </w:pPr>
            <w:r/>
            <w:r>
              <w:rPr>
                <w:rFonts w:ascii="Aptos" w:hAnsi="Aptos"/>
                <w:b w:val="0"/>
                <w:sz w:val="16"/>
              </w:rPr>
              <w:t>Cleaned vs normalized row counts</w:t>
            </w:r>
          </w:p>
        </w:tc>
        <w:tc>
          <w:tcPr>
            <w:tcW w:type="dxa" w:w="3888"/>
            <w:vAlign w:val="center"/>
            <w:shd w:fill="F4F7FA"/>
          </w:tcPr>
          <w:p>
            <w:pPr>
              <w:spacing w:after="0" w:before="0"/>
            </w:pPr>
            <w:r/>
            <w:r>
              <w:rPr>
                <w:rFonts w:ascii="Aptos" w:hAnsi="Aptos"/>
                <w:b w:val="0"/>
                <w:sz w:val="16"/>
              </w:rPr>
              <w:t>Match</w:t>
            </w:r>
          </w:p>
        </w:tc>
        <w:tc>
          <w:tcPr>
            <w:tcW w:type="dxa" w:w="1584"/>
            <w:vAlign w:val="center"/>
            <w:shd w:fill="F4F7FA"/>
          </w:tcPr>
          <w:p>
            <w:pPr>
              <w:spacing w:after="0" w:before="0"/>
            </w:pPr>
            <w:r/>
            <w:r>
              <w:rPr>
                <w:rFonts w:ascii="Aptos" w:hAnsi="Aptos"/>
                <w:b w:val="0"/>
                <w:sz w:val="16"/>
              </w:rPr>
              <w:t>Pass</w:t>
            </w:r>
          </w:p>
        </w:tc>
      </w:tr>
      <w:tr>
        <w:tc>
          <w:tcPr>
            <w:tcW w:type="dxa" w:w="4104"/>
            <w:vAlign w:val="center"/>
          </w:tcPr>
          <w:p>
            <w:pPr>
              <w:spacing w:after="0" w:before="0"/>
            </w:pPr>
            <w:r/>
            <w:r>
              <w:rPr>
                <w:rFonts w:ascii="Aptos" w:hAnsi="Aptos"/>
                <w:b w:val="0"/>
                <w:sz w:val="16"/>
              </w:rPr>
              <w:t>Missing normalized values</w:t>
            </w:r>
          </w:p>
        </w:tc>
        <w:tc>
          <w:tcPr>
            <w:tcW w:type="dxa" w:w="3888"/>
            <w:vAlign w:val="center"/>
          </w:tcPr>
          <w:p>
            <w:pPr>
              <w:spacing w:after="0" w:before="0"/>
            </w:pPr>
            <w:r/>
            <w:r>
              <w:rPr>
                <w:rFonts w:ascii="Aptos" w:hAnsi="Aptos"/>
                <w:b w:val="0"/>
                <w:sz w:val="16"/>
              </w:rPr>
              <w:t>0</w:t>
            </w:r>
          </w:p>
        </w:tc>
        <w:tc>
          <w:tcPr>
            <w:tcW w:type="dxa" w:w="1584"/>
            <w:vAlign w:val="center"/>
          </w:tcPr>
          <w:p>
            <w:pPr>
              <w:spacing w:after="0" w:before="0"/>
            </w:pPr>
            <w:r/>
            <w:r>
              <w:rPr>
                <w:rFonts w:ascii="Aptos" w:hAnsi="Aptos"/>
                <w:b w:val="0"/>
                <w:sz w:val="16"/>
              </w:rPr>
              <w:t>Pass</w:t>
            </w:r>
          </w:p>
        </w:tc>
      </w:tr>
      <w:tr>
        <w:tc>
          <w:tcPr>
            <w:tcW w:type="dxa" w:w="4104"/>
            <w:vAlign w:val="center"/>
            <w:shd w:fill="F4F7FA"/>
          </w:tcPr>
          <w:p>
            <w:pPr>
              <w:spacing w:after="0" w:before="0"/>
            </w:pPr>
            <w:r/>
            <w:r>
              <w:rPr>
                <w:rFonts w:ascii="Aptos" w:hAnsi="Aptos"/>
                <w:b w:val="0"/>
                <w:sz w:val="16"/>
              </w:rPr>
              <w:t>Overall normalized minimum / maximum</w:t>
            </w:r>
          </w:p>
        </w:tc>
        <w:tc>
          <w:tcPr>
            <w:tcW w:type="dxa" w:w="3888"/>
            <w:vAlign w:val="center"/>
            <w:shd w:fill="F4F7FA"/>
          </w:tcPr>
          <w:p>
            <w:pPr>
              <w:spacing w:after="0" w:before="0"/>
            </w:pPr>
            <w:r/>
            <w:r>
              <w:rPr>
                <w:rFonts w:ascii="Aptos" w:hAnsi="Aptos"/>
                <w:b w:val="0"/>
                <w:sz w:val="16"/>
              </w:rPr>
              <w:t>0.000000 / 1.000000</w:t>
            </w:r>
          </w:p>
        </w:tc>
        <w:tc>
          <w:tcPr>
            <w:tcW w:type="dxa" w:w="1584"/>
            <w:vAlign w:val="center"/>
            <w:shd w:fill="F4F7FA"/>
          </w:tcPr>
          <w:p>
            <w:pPr>
              <w:spacing w:after="0" w:before="0"/>
            </w:pPr>
            <w:r/>
            <w:r>
              <w:rPr>
                <w:rFonts w:ascii="Aptos" w:hAnsi="Aptos"/>
                <w:b w:val="0"/>
                <w:sz w:val="16"/>
              </w:rPr>
              <w:t>Pass</w:t>
            </w:r>
          </w:p>
        </w:tc>
      </w:tr>
      <w:tr>
        <w:tc>
          <w:tcPr>
            <w:tcW w:type="dxa" w:w="4104"/>
            <w:vAlign w:val="center"/>
          </w:tcPr>
          <w:p>
            <w:pPr>
              <w:spacing w:after="0" w:before="0"/>
            </w:pPr>
            <w:r/>
            <w:r>
              <w:rPr>
                <w:rFonts w:ascii="Aptos" w:hAnsi="Aptos"/>
                <w:b w:val="0"/>
                <w:sz w:val="16"/>
              </w:rPr>
              <w:t>All normalized values within [0,1]</w:t>
            </w:r>
          </w:p>
        </w:tc>
        <w:tc>
          <w:tcPr>
            <w:tcW w:type="dxa" w:w="3888"/>
            <w:vAlign w:val="center"/>
          </w:tcPr>
          <w:p>
            <w:pPr>
              <w:spacing w:after="0" w:before="0"/>
            </w:pPr>
            <w:r/>
            <w:r>
              <w:rPr>
                <w:rFonts w:ascii="Aptos" w:hAnsi="Aptos"/>
                <w:b w:val="0"/>
                <w:sz w:val="16"/>
              </w:rPr>
              <w:t>True</w:t>
            </w:r>
          </w:p>
        </w:tc>
        <w:tc>
          <w:tcPr>
            <w:tcW w:type="dxa" w:w="1584"/>
            <w:vAlign w:val="center"/>
          </w:tcPr>
          <w:p>
            <w:pPr>
              <w:spacing w:after="0" w:before="0"/>
            </w:pPr>
            <w:r/>
            <w:r>
              <w:rPr>
                <w:rFonts w:ascii="Aptos" w:hAnsi="Aptos"/>
                <w:b w:val="0"/>
                <w:sz w:val="16"/>
              </w:rPr>
              <w:t>Pass</w:t>
            </w:r>
          </w:p>
        </w:tc>
      </w:tr>
    </w:tbl>
    <w:p>
      <w:pPr>
        <w:spacing w:after="20"/>
      </w:pPr>
    </w:p>
    <w:p>
      <w:pPr>
        <w:pStyle w:val="Heading2"/>
        <w:keepNext/>
      </w:pPr>
      <w:r>
        <w:rPr>
          <w:rFonts w:ascii="Aptos" w:hAnsi="Aptos"/>
          <w:b/>
          <w:color w:val="007C91"/>
          <w:sz w:val="25"/>
        </w:rPr>
        <w:t>7.1 Data transformations recap</w:t>
      </w:r>
    </w:p>
    <w:p>
      <w:pPr>
        <w:keepNext w:val="0"/>
        <w:keepLines/>
        <w:spacing w:after="100" w:before="0"/>
      </w:pPr>
      <w:r>
        <w:rPr>
          <w:rFonts w:ascii="Aptos" w:hAnsi="Aptos"/>
          <w:i w:val="0"/>
          <w:sz w:val="20"/>
        </w:rPr>
        <w:t>The final cleaned dataset has 46 columns: 53 initial columns − 8 removed columns + 1 engineered schedule-variance column = 46. Because no required-field rows failed the row-level checks, the record count remained 180,519. This is important: the reduction in missing cells came from excluding columns—not from imputing all source missing values or dropping shipment records.</w:t>
      </w:r>
    </w:p>
    <w:p>
      <w:pPr>
        <w:pStyle w:val="Heading1"/>
        <w:keepNext/>
      </w:pPr>
      <w:r>
        <w:rPr>
          <w:rFonts w:ascii="Aptos" w:hAnsi="Aptos"/>
          <w:b/>
          <w:color w:val="16324F"/>
          <w:sz w:val="32"/>
        </w:rPr>
        <w:t>8. Reproduction and Code Documentation</w:t>
      </w:r>
    </w:p>
    <w:p>
      <w:pPr>
        <w:spacing w:after="100" w:before="0"/>
      </w:pPr>
      <w:r>
        <w:rPr>
          <w:rFonts w:ascii="Aptos" w:hAnsi="Aptos"/>
          <w:i w:val="0"/>
          <w:sz w:val="20"/>
        </w:rPr>
        <w:t>The project separates data processing from visualisation. week2_data_preprocessing.py creates the profiles, cleaning-decision log, quality flags, IQR summary, normalized file and validation-ready outputs. week2_create_report_visuals.py reads those generated files and creates report charts; it does not modify the raw or cleaned dataset.</w:t>
      </w:r>
    </w:p>
    <w:p>
      <w:pPr>
        <w:pStyle w:val="Heading2"/>
        <w:keepNext/>
      </w:pPr>
      <w:r>
        <w:rPr>
          <w:rFonts w:ascii="Aptos" w:hAnsi="Aptos"/>
          <w:b/>
          <w:color w:val="007C91"/>
          <w:sz w:val="25"/>
        </w:rPr>
        <w:t>8.1 Essential pandas checks</w:t>
      </w:r>
    </w:p>
    <w:tbl>
      <w:tblPr>
        <w:tblW w:type="auto" w:w="0"/>
        <w:jc w:val="center"/>
        <w:tblLook w:firstColumn="1" w:firstRow="1" w:lastColumn="0" w:lastRow="0" w:noHBand="0" w:noVBand="1" w:val="04A0"/>
      </w:tblPr>
      <w:tblGrid>
        <w:gridCol w:w="9994"/>
      </w:tblGrid>
      <w:tr>
        <w:tc>
          <w:tcPr>
            <w:tcW w:type="dxa" w:w="9994"/>
            <w:shd w:fill="F1F4F7"/>
          </w:tcPr>
          <w:p>
            <w:pPr>
              <w:spacing w:after="0" w:before="0" w:line="240" w:lineRule="auto"/>
            </w:pPr>
            <w:r/>
            <w:r>
              <w:rPr>
                <w:rFonts w:ascii="Consolas" w:hAnsi="Consolas"/>
                <w:color w:val="243746"/>
                <w:sz w:val="15"/>
              </w:rPr>
              <w:t>from pathlib import Path</w:t>
            </w:r>
          </w:p>
          <w:p>
            <w:pPr>
              <w:spacing w:after="0" w:before="0" w:line="240" w:lineRule="auto"/>
            </w:pPr>
            <w:r>
              <w:rPr>
                <w:rFonts w:ascii="Consolas" w:hAnsi="Consolas"/>
                <w:color w:val="243746"/>
                <w:sz w:val="15"/>
              </w:rPr>
              <w:t>import pandas as pd</w:t>
            </w:r>
          </w:p>
          <w:p>
            <w:pPr>
              <w:spacing w:after="0" w:before="0" w:line="240" w:lineRule="auto"/>
            </w:pPr>
            <w:r>
              <w:rPr>
                <w:rFonts w:ascii="Consolas" w:hAnsi="Consolas"/>
                <w:color w:val="243746"/>
                <w:sz w:val="15"/>
              </w:rPr>
              <w:t xml:space="preserve"> </w:t>
            </w:r>
          </w:p>
          <w:p>
            <w:pPr>
              <w:spacing w:after="0" w:before="0" w:line="240" w:lineRule="auto"/>
            </w:pPr>
            <w:r>
              <w:rPr>
                <w:rFonts w:ascii="Consolas" w:hAnsi="Consolas"/>
                <w:color w:val="243746"/>
                <w:sz w:val="15"/>
              </w:rPr>
              <w:t>ROOT = Path(__file__).resolve().parents[1]</w:t>
            </w:r>
          </w:p>
          <w:p>
            <w:pPr>
              <w:spacing w:after="0" w:before="0" w:line="240" w:lineRule="auto"/>
            </w:pPr>
            <w:r>
              <w:rPr>
                <w:rFonts w:ascii="Consolas" w:hAnsi="Consolas"/>
                <w:color w:val="243746"/>
                <w:sz w:val="15"/>
              </w:rPr>
              <w:t>RAW_FILE = ROOT / "data" / "raw" / "DataCoSupplyChainDataset.csv"</w:t>
            </w:r>
          </w:p>
          <w:p>
            <w:pPr>
              <w:spacing w:after="0" w:before="0" w:line="240" w:lineRule="auto"/>
            </w:pPr>
            <w:r>
              <w:rPr>
                <w:rFonts w:ascii="Consolas" w:hAnsi="Consolas"/>
                <w:color w:val="243746"/>
                <w:sz w:val="15"/>
              </w:rPr>
              <w:t>df = pd.read_csv(RAW_FILE, encoding="latin-1", low_memory=False)</w:t>
            </w:r>
          </w:p>
          <w:p>
            <w:pPr>
              <w:spacing w:after="0" w:before="0" w:line="240" w:lineRule="auto"/>
            </w:pPr>
            <w:r>
              <w:rPr>
                <w:rFonts w:ascii="Consolas" w:hAnsi="Consolas"/>
                <w:color w:val="243746"/>
                <w:sz w:val="15"/>
              </w:rPr>
              <w:t xml:space="preserve"> </w:t>
            </w:r>
          </w:p>
          <w:p>
            <w:pPr>
              <w:spacing w:after="0" w:before="0" w:line="240" w:lineRule="auto"/>
            </w:pPr>
            <w:r>
              <w:rPr>
                <w:rFonts w:ascii="Consolas" w:hAnsi="Consolas"/>
                <w:color w:val="243746"/>
                <w:sz w:val="15"/>
              </w:rPr>
              <w:t>print("Shape:", df.shape)</w:t>
            </w:r>
          </w:p>
          <w:p>
            <w:pPr>
              <w:spacing w:after="0" w:before="0" w:line="240" w:lineRule="auto"/>
            </w:pPr>
            <w:r>
              <w:rPr>
                <w:rFonts w:ascii="Consolas" w:hAnsi="Consolas"/>
                <w:color w:val="243746"/>
                <w:sz w:val="15"/>
              </w:rPr>
              <w:t>print("Exact duplicate rows:", int(df.duplicated().sum()))</w:t>
            </w:r>
          </w:p>
          <w:p>
            <w:pPr>
              <w:spacing w:after="0" w:before="0" w:line="240" w:lineRule="auto"/>
            </w:pPr>
            <w:r>
              <w:rPr>
                <w:rFonts w:ascii="Consolas" w:hAnsi="Consolas"/>
                <w:color w:val="243746"/>
                <w:sz w:val="15"/>
              </w:rPr>
              <w:t>missing = df.isna().sum().sort_values(ascending=False)</w:t>
            </w:r>
          </w:p>
          <w:p>
            <w:pPr>
              <w:spacing w:after="0" w:before="0" w:line="240" w:lineRule="auto"/>
            </w:pPr>
            <w:r>
              <w:rPr>
                <w:rFonts w:ascii="Consolas" w:hAnsi="Consolas"/>
                <w:color w:val="243746"/>
                <w:sz w:val="15"/>
              </w:rPr>
              <w:t>print(missing[missing &gt; 0])</w:t>
            </w:r>
          </w:p>
        </w:tc>
      </w:tr>
    </w:tbl>
    <w:p>
      <w:pPr>
        <w:spacing w:after="20"/>
      </w:pPr>
    </w:p>
    <w:p>
      <w:pPr>
        <w:pStyle w:val="Heading2"/>
        <w:keepNext/>
      </w:pPr>
      <w:r>
        <w:rPr>
          <w:rFonts w:ascii="Aptos" w:hAnsi="Aptos"/>
          <w:b/>
          <w:color w:val="007C91"/>
          <w:sz w:val="25"/>
        </w:rPr>
        <w:t>8.2 Type validation and derived feature</w:t>
      </w:r>
    </w:p>
    <w:tbl>
      <w:tblPr>
        <w:tblW w:type="auto" w:w="0"/>
        <w:jc w:val="center"/>
        <w:tblLook w:firstColumn="1" w:firstRow="1" w:lastColumn="0" w:lastRow="0" w:noHBand="0" w:noVBand="1" w:val="04A0"/>
      </w:tblPr>
      <w:tblGrid>
        <w:gridCol w:w="9994"/>
      </w:tblGrid>
      <w:tr>
        <w:tc>
          <w:tcPr>
            <w:tcW w:type="dxa" w:w="9994"/>
            <w:shd w:fill="F1F4F7"/>
          </w:tcPr>
          <w:p>
            <w:pPr>
              <w:spacing w:after="0" w:before="0" w:line="240" w:lineRule="auto"/>
            </w:pPr>
            <w:r/>
            <w:r>
              <w:rPr>
                <w:rFonts w:ascii="Consolas" w:hAnsi="Consolas"/>
                <w:color w:val="243746"/>
                <w:sz w:val="15"/>
              </w:rPr>
              <w:t>for col in ["order date (DateOrders)", "shipping date (DateOrders)"]:</w:t>
            </w:r>
          </w:p>
          <w:p>
            <w:pPr>
              <w:spacing w:after="0" w:before="0" w:line="240" w:lineRule="auto"/>
            </w:pPr>
            <w:r>
              <w:rPr>
                <w:rFonts w:ascii="Consolas" w:hAnsi="Consolas"/>
                <w:color w:val="243746"/>
                <w:sz w:val="15"/>
              </w:rPr>
              <w:t xml:space="preserve">    df[col] = pd.to_datetime(df[col], errors="coerce")</w:t>
            </w:r>
          </w:p>
          <w:p>
            <w:pPr>
              <w:spacing w:after="0" w:before="0" w:line="240" w:lineRule="auto"/>
            </w:pPr>
            <w:r>
              <w:rPr>
                <w:rFonts w:ascii="Consolas" w:hAnsi="Consolas"/>
                <w:color w:val="243746"/>
                <w:sz w:val="15"/>
              </w:rPr>
              <w:t xml:space="preserve"> </w:t>
            </w:r>
          </w:p>
          <w:p>
            <w:pPr>
              <w:spacing w:after="0" w:before="0" w:line="240" w:lineRule="auto"/>
            </w:pPr>
            <w:r>
              <w:rPr>
                <w:rFonts w:ascii="Consolas" w:hAnsi="Consolas"/>
                <w:color w:val="243746"/>
                <w:sz w:val="15"/>
              </w:rPr>
              <w:t>for col in ["Days for shipping (real)", "Days for shipment (scheduled)"]:</w:t>
            </w:r>
          </w:p>
          <w:p>
            <w:pPr>
              <w:spacing w:after="0" w:before="0" w:line="240" w:lineRule="auto"/>
            </w:pPr>
            <w:r>
              <w:rPr>
                <w:rFonts w:ascii="Consolas" w:hAnsi="Consolas"/>
                <w:color w:val="243746"/>
                <w:sz w:val="15"/>
              </w:rPr>
              <w:t xml:space="preserve">    df[col] = pd.to_numeric(df[col], errors="coerce")</w:t>
            </w:r>
          </w:p>
          <w:p>
            <w:pPr>
              <w:spacing w:after="0" w:before="0" w:line="240" w:lineRule="auto"/>
            </w:pPr>
            <w:r>
              <w:rPr>
                <w:rFonts w:ascii="Consolas" w:hAnsi="Consolas"/>
                <w:color w:val="243746"/>
                <w:sz w:val="15"/>
              </w:rPr>
              <w:t xml:space="preserve"> </w:t>
            </w:r>
          </w:p>
          <w:p>
            <w:pPr>
              <w:spacing w:after="0" w:before="0" w:line="240" w:lineRule="auto"/>
            </w:pPr>
            <w:r>
              <w:rPr>
                <w:rFonts w:ascii="Consolas" w:hAnsi="Consolas"/>
                <w:color w:val="243746"/>
                <w:sz w:val="15"/>
              </w:rPr>
              <w:t>df["Shipping Delay Days"] = (</w:t>
            </w:r>
          </w:p>
          <w:p>
            <w:pPr>
              <w:spacing w:after="0" w:before="0" w:line="240" w:lineRule="auto"/>
            </w:pPr>
            <w:r>
              <w:rPr>
                <w:rFonts w:ascii="Consolas" w:hAnsi="Consolas"/>
                <w:color w:val="243746"/>
                <w:sz w:val="15"/>
              </w:rPr>
              <w:t xml:space="preserve">    df["Days for shipping (real)"]</w:t>
            </w:r>
          </w:p>
          <w:p>
            <w:pPr>
              <w:spacing w:after="0" w:before="0" w:line="240" w:lineRule="auto"/>
            </w:pPr>
            <w:r>
              <w:rPr>
                <w:rFonts w:ascii="Consolas" w:hAnsi="Consolas"/>
                <w:color w:val="243746"/>
                <w:sz w:val="15"/>
              </w:rPr>
              <w:t xml:space="preserve">    - df["Days for shipment (scheduled)"]</w:t>
            </w:r>
          </w:p>
          <w:p>
            <w:pPr>
              <w:spacing w:after="0" w:before="0" w:line="240" w:lineRule="auto"/>
            </w:pPr>
            <w:r>
              <w:rPr>
                <w:rFonts w:ascii="Consolas" w:hAnsi="Consolas"/>
                <w:color w:val="243746"/>
                <w:sz w:val="15"/>
              </w:rPr>
              <w:t>)</w:t>
            </w:r>
          </w:p>
        </w:tc>
      </w:tr>
    </w:tbl>
    <w:p>
      <w:pPr>
        <w:spacing w:after="20"/>
      </w:pPr>
    </w:p>
    <w:p>
      <w:pPr>
        <w:pStyle w:val="Heading2"/>
        <w:keepNext/>
      </w:pPr>
      <w:r>
        <w:rPr>
          <w:rFonts w:ascii="Aptos" w:hAnsi="Aptos"/>
          <w:b/>
          <w:color w:val="007C91"/>
          <w:sz w:val="25"/>
        </w:rPr>
        <w:t>8.3 Handling missingness in a different case</w:t>
      </w:r>
    </w:p>
    <w:p>
      <w:pPr>
        <w:spacing w:after="100" w:before="0"/>
      </w:pPr>
      <w:r>
        <w:rPr>
          <w:rFonts w:ascii="Aptos" w:hAnsi="Aptos"/>
          <w:i w:val="0"/>
          <w:sz w:val="20"/>
        </w:rPr>
        <w:t>No imputation was required for the retained fields in this dataset. If a required numeric feature were missing in a future dataset, median imputation could be tested as one candidate approach after assessing the missingness mechanism and distribution. In a predictive pipeline, imputation statistics must be estimated from training data only.</w:t>
      </w:r>
    </w:p>
    <w:tbl>
      <w:tblPr>
        <w:tblW w:type="auto" w:w="0"/>
        <w:jc w:val="center"/>
        <w:tblLook w:firstColumn="1" w:firstRow="1" w:lastColumn="0" w:lastRow="0" w:noHBand="0" w:noVBand="1" w:val="04A0"/>
      </w:tblPr>
      <w:tblGrid>
        <w:gridCol w:w="9994"/>
      </w:tblGrid>
      <w:tr>
        <w:tc>
          <w:tcPr>
            <w:tcW w:type="dxa" w:w="9994"/>
            <w:shd w:fill="F1F4F7"/>
          </w:tcPr>
          <w:p>
            <w:pPr>
              <w:spacing w:after="0" w:before="0" w:line="240" w:lineRule="auto"/>
            </w:pPr>
            <w:r/>
            <w:r>
              <w:rPr>
                <w:rFonts w:ascii="Consolas" w:hAnsi="Consolas"/>
                <w:color w:val="243746"/>
                <w:sz w:val="15"/>
              </w:rPr>
              <w:t># Future example only; median imputation was NOT applied to this dataset</w:t>
            </w:r>
          </w:p>
          <w:p>
            <w:pPr>
              <w:spacing w:after="0" w:before="0" w:line="240" w:lineRule="auto"/>
            </w:pPr>
            <w:r>
              <w:rPr>
                <w:rFonts w:ascii="Consolas" w:hAnsi="Consolas"/>
                <w:color w:val="243746"/>
                <w:sz w:val="15"/>
              </w:rPr>
              <w:t>from sklearn.impute import SimpleImputer</w:t>
            </w:r>
          </w:p>
          <w:p>
            <w:pPr>
              <w:spacing w:after="0" w:before="0" w:line="240" w:lineRule="auto"/>
            </w:pPr>
            <w:r>
              <w:rPr>
                <w:rFonts w:ascii="Consolas" w:hAnsi="Consolas"/>
                <w:color w:val="243746"/>
                <w:sz w:val="15"/>
              </w:rPr>
              <w:t>from sklearn.preprocessing import MinMaxScaler</w:t>
            </w:r>
          </w:p>
          <w:p>
            <w:pPr>
              <w:spacing w:after="0" w:before="0" w:line="240" w:lineRule="auto"/>
            </w:pPr>
            <w:r>
              <w:rPr>
                <w:rFonts w:ascii="Consolas" w:hAnsi="Consolas"/>
                <w:color w:val="243746"/>
                <w:sz w:val="15"/>
              </w:rPr>
              <w:t>from sklearn.pipeline import make_pipeline</w:t>
            </w:r>
          </w:p>
          <w:p>
            <w:pPr>
              <w:spacing w:after="0" w:before="0" w:line="240" w:lineRule="auto"/>
            </w:pPr>
            <w:r>
              <w:rPr>
                <w:rFonts w:ascii="Consolas" w:hAnsi="Consolas"/>
                <w:color w:val="243746"/>
                <w:sz w:val="15"/>
              </w:rPr>
              <w:t xml:space="preserve"> </w:t>
            </w:r>
          </w:p>
          <w:p>
            <w:pPr>
              <w:spacing w:after="0" w:before="0" w:line="240" w:lineRule="auto"/>
            </w:pPr>
            <w:r>
              <w:rPr>
                <w:rFonts w:ascii="Consolas" w:hAnsi="Consolas"/>
                <w:color w:val="243746"/>
                <w:sz w:val="15"/>
              </w:rPr>
              <w:t>preprocess = make_pipeline(</w:t>
            </w:r>
          </w:p>
          <w:p>
            <w:pPr>
              <w:spacing w:after="0" w:before="0" w:line="240" w:lineRule="auto"/>
            </w:pPr>
            <w:r>
              <w:rPr>
                <w:rFonts w:ascii="Consolas" w:hAnsi="Consolas"/>
                <w:color w:val="243746"/>
                <w:sz w:val="15"/>
              </w:rPr>
              <w:t xml:space="preserve">    SimpleImputer(strategy="median"), MinMaxScaler()</w:t>
            </w:r>
          </w:p>
          <w:p>
            <w:pPr>
              <w:spacing w:after="0" w:before="0" w:line="240" w:lineRule="auto"/>
            </w:pPr>
            <w:r>
              <w:rPr>
                <w:rFonts w:ascii="Consolas" w:hAnsi="Consolas"/>
                <w:color w:val="243746"/>
                <w:sz w:val="15"/>
              </w:rPr>
              <w:t>)</w:t>
            </w:r>
          </w:p>
          <w:p>
            <w:pPr>
              <w:spacing w:after="0" w:before="0" w:line="240" w:lineRule="auto"/>
            </w:pPr>
            <w:r>
              <w:rPr>
                <w:rFonts w:ascii="Consolas" w:hAnsi="Consolas"/>
                <w:color w:val="243746"/>
                <w:sz w:val="15"/>
              </w:rPr>
              <w:t># Fit on training data only; transform validation/test data.</w:t>
            </w:r>
          </w:p>
        </w:tc>
      </w:tr>
    </w:tbl>
    <w:p>
      <w:pPr>
        <w:spacing w:after="20"/>
      </w:pPr>
    </w:p>
    <w:p>
      <w:pPr>
        <w:pStyle w:val="Heading2"/>
        <w:keepNext/>
      </w:pPr>
      <w:r>
        <w:rPr>
          <w:rFonts w:ascii="Aptos" w:hAnsi="Aptos"/>
          <w:b/>
          <w:color w:val="007C91"/>
          <w:sz w:val="25"/>
        </w:rPr>
        <w:t>8.4 Re-run commands</w:t>
      </w:r>
    </w:p>
    <w:tbl>
      <w:tblPr>
        <w:tblW w:type="auto" w:w="0"/>
        <w:jc w:val="center"/>
        <w:tblLook w:firstColumn="1" w:firstRow="1" w:lastColumn="0" w:lastRow="0" w:noHBand="0" w:noVBand="1" w:val="04A0"/>
      </w:tblPr>
      <w:tblGrid>
        <w:gridCol w:w="9994"/>
      </w:tblGrid>
      <w:tr>
        <w:tc>
          <w:tcPr>
            <w:tcW w:type="dxa" w:w="9994"/>
            <w:shd w:fill="F1F4F7"/>
          </w:tcPr>
          <w:p>
            <w:pPr>
              <w:spacing w:after="0" w:before="0" w:line="240" w:lineRule="auto"/>
            </w:pPr>
            <w:r/>
            <w:r>
              <w:rPr>
                <w:rFonts w:ascii="Consolas" w:hAnsi="Consolas"/>
                <w:color w:val="243746"/>
                <w:sz w:val="15"/>
              </w:rPr>
              <w:t># Run from the LogisticsAnalytics_Week1 project root</w:t>
            </w:r>
          </w:p>
          <w:p>
            <w:pPr>
              <w:spacing w:after="0" w:before="0" w:line="240" w:lineRule="auto"/>
            </w:pPr>
            <w:r>
              <w:rPr>
                <w:rFonts w:ascii="Consolas" w:hAnsi="Consolas"/>
                <w:color w:val="243746"/>
                <w:sz w:val="15"/>
              </w:rPr>
              <w:t>python .\src\week2_data_preprocessing.py</w:t>
            </w:r>
          </w:p>
          <w:p>
            <w:pPr>
              <w:spacing w:after="0" w:before="0" w:line="240" w:lineRule="auto"/>
            </w:pPr>
            <w:r>
              <w:rPr>
                <w:rFonts w:ascii="Consolas" w:hAnsi="Consolas"/>
                <w:color w:val="243746"/>
                <w:sz w:val="15"/>
              </w:rPr>
              <w:t>python .\src\week2_create_report_visuals.py</w:t>
            </w:r>
          </w:p>
          <w:p>
            <w:pPr>
              <w:spacing w:after="0" w:before="0" w:line="240" w:lineRule="auto"/>
            </w:pPr>
            <w:r>
              <w:rPr>
                <w:rFonts w:ascii="Consolas" w:hAnsi="Consolas"/>
                <w:color w:val="243746"/>
                <w:sz w:val="15"/>
              </w:rPr>
              <w:t xml:space="preserve"> </w:t>
            </w:r>
          </w:p>
          <w:p>
            <w:pPr>
              <w:spacing w:after="0" w:before="0" w:line="240" w:lineRule="auto"/>
            </w:pPr>
            <w:r>
              <w:rPr>
                <w:rFonts w:ascii="Consolas" w:hAnsi="Consolas"/>
                <w:color w:val="243746"/>
                <w:sz w:val="15"/>
              </w:rPr>
              <w:t># Local outputs of the pipeline are stored in:</w:t>
            </w:r>
          </w:p>
          <w:p>
            <w:pPr>
              <w:spacing w:after="0" w:before="0" w:line="240" w:lineRule="auto"/>
            </w:pPr>
            <w:r>
              <w:rPr>
                <w:rFonts w:ascii="Consolas" w:hAnsi="Consolas"/>
                <w:color w:val="243746"/>
                <w:sz w:val="15"/>
              </w:rPr>
              <w:t># data/processed/week2_*.csv</w:t>
            </w:r>
          </w:p>
          <w:p>
            <w:pPr>
              <w:spacing w:after="0" w:before="0" w:line="240" w:lineRule="auto"/>
            </w:pPr>
            <w:r>
              <w:rPr>
                <w:rFonts w:ascii="Consolas" w:hAnsi="Consolas"/>
                <w:color w:val="243746"/>
                <w:sz w:val="15"/>
              </w:rPr>
              <w:t># outputs/charts/WEEK2_REPORT_*.png</w:t>
            </w:r>
          </w:p>
        </w:tc>
      </w:tr>
    </w:tbl>
    <w:p>
      <w:pPr>
        <w:spacing w:after="20"/>
      </w:pPr>
    </w:p>
    <w:p>
      <w:pPr>
        <w:pStyle w:val="Heading1"/>
        <w:keepNext/>
      </w:pPr>
      <w:r>
        <w:rPr>
          <w:rFonts w:ascii="Aptos" w:hAnsi="Aptos"/>
          <w:b/>
          <w:color w:val="16324F"/>
          <w:sz w:val="32"/>
        </w:rPr>
        <w:t>9. Reflection: Why Data Quality Matters in Logistics</w:t>
      </w:r>
    </w:p>
    <w:p>
      <w:pPr>
        <w:spacing w:after="100" w:before="0"/>
      </w:pPr>
      <w:r>
        <w:rPr>
          <w:rFonts w:ascii="Aptos" w:hAnsi="Aptos"/>
          <w:i w:val="0"/>
          <w:sz w:val="20"/>
        </w:rPr>
        <w:t>Data quality has a direct effect on how a logistics team interprets performance. If shipment dates are parsed incorrectly, schedule variance can be miscalculated. If repeated line-item rows are mistaken for duplicated orders, valid transactions could be removed. If customer identifiers are retained unnecessarily, the dataset exposes more personal information than the analysis needs. If valid extreme delays are removed automatically, the analysis may understate the operational problems that a manager needs to investigate.</w:t>
      </w:r>
    </w:p>
    <w:p>
      <w:pPr>
        <w:spacing w:after="100" w:before="0"/>
      </w:pPr>
      <w:r>
        <w:rPr>
          <w:rFonts w:ascii="Aptos" w:hAnsi="Aptos"/>
          <w:i w:val="0"/>
          <w:sz w:val="20"/>
        </w:rPr>
        <w:t>The preprocessing run showed why each check must be interpreted in context. The dataset contained a high number of missing cells, but those cells were concentrated in four fields, including one with no values at all and one with 86.24% missingness. The other four columns removed were excluded for relevance or privacy rather than missingness. No shipment rows needed to be dropped under the required-field or negative-duration rules. The IQR results were preserved as flags to support review, and normalization was stored separately so business-scale values remained available in the cleaned file.</w:t>
      </w:r>
    </w:p>
    <w:p>
      <w:pPr>
        <w:pStyle w:val="Heading2"/>
        <w:keepNext/>
      </w:pPr>
      <w:r>
        <w:rPr>
          <w:rFonts w:ascii="Aptos" w:hAnsi="Aptos"/>
          <w:b/>
          <w:color w:val="007C91"/>
          <w:sz w:val="25"/>
        </w:rPr>
        <w:t>9.1 How the results support decisions</w:t>
      </w:r>
    </w:p>
    <w:p>
      <w:pPr>
        <w:pStyle w:val="ListBullet"/>
        <w:spacing w:after="60"/>
      </w:pPr>
      <w:r>
        <w:t>Data engineers can use the cleaning-decision log to reproduce exactly which fields were removed and why.</w:t>
      </w:r>
    </w:p>
    <w:p>
      <w:pPr>
        <w:pStyle w:val="ListBullet"/>
        <w:spacing w:after="60"/>
      </w:pPr>
      <w:r>
        <w:t>Logistics analysts can use schedule-variance counts to prioritise investigation of unusually early or late shipments rather than treating all outliers as errors.</w:t>
      </w:r>
    </w:p>
    <w:p>
      <w:pPr>
        <w:pStyle w:val="ListBullet"/>
        <w:spacing w:after="60"/>
      </w:pPr>
      <w:r>
        <w:t>Business stakeholders can distinguish a measurement problem from a genuine exception that may affect service levels or costs.</w:t>
      </w:r>
    </w:p>
    <w:p>
      <w:pPr>
        <w:pStyle w:val="ListBullet"/>
        <w:spacing w:after="60"/>
      </w:pPr>
      <w:r>
        <w:t>Model developers can start from a retained dataset with validated types and a separate scaled feature file, while still applying training-only fit procedures before model evaluation.</w:t>
      </w:r>
    </w:p>
    <w:p>
      <w:pPr>
        <w:pStyle w:val="ListBullet"/>
        <w:spacing w:after="60"/>
      </w:pPr>
      <w:r>
        <w:t>Privacy-aware reporting avoids carrying customer email, password, names, street and ZIP-code fields into a task where they add no value.</w:t>
      </w:r>
    </w:p>
    <w:p>
      <w:pPr>
        <w:pStyle w:val="Heading1"/>
        <w:keepNext/>
      </w:pPr>
      <w:r>
        <w:rPr>
          <w:rFonts w:ascii="Aptos" w:hAnsi="Aptos"/>
          <w:b/>
          <w:color w:val="16324F"/>
          <w:sz w:val="32"/>
        </w:rPr>
        <w:t>Conclusion</w:t>
      </w:r>
    </w:p>
    <w:p>
      <w:pPr>
        <w:keepLines/>
        <w:spacing w:after="100" w:before="0"/>
      </w:pPr>
      <w:r>
        <w:rPr>
          <w:rFonts w:ascii="Aptos" w:hAnsi="Aptos"/>
          <w:i w:val="0"/>
          <w:sz w:val="20"/>
        </w:rPr>
        <w:t>This task completed a traceable preprocessing workflow on 180,519 logistics records. The workflow profiled the public data source, quantified missingness, removed eight non-essential or sensitive columns, standardized data types, engineered schedule variance, checked validity conditions, flagged IQR outliers without deleting them, normalized eight numeric features, and verified that the retained cleaned data had no missing cells or exact duplicate rows. All validation checks reported in this document passed.</w:t>
      </w:r>
    </w:p>
    <w:p>
      <w:pPr>
        <w:spacing w:after="100" w:before="0"/>
      </w:pPr>
      <w:r>
        <w:rPr>
          <w:rFonts w:ascii="Aptos" w:hAnsi="Aptos"/>
          <w:i w:val="0"/>
          <w:sz w:val="20"/>
        </w:rPr>
        <w:t>The main limitation is that the dataset was prepared for a simulated analytical exercise rather than a live logistics integration, and the normalized values were generated before any train/test modelling split. Future work should retain the same transparent cleaning log, investigate flagged cases with business context, and fit all learned preprocessing steps only on training data when predictive modelling begins.</w:t>
      </w:r>
    </w:p>
    <w:p>
      <w:pPr>
        <w:pStyle w:val="Heading1"/>
        <w:keepNext/>
      </w:pPr>
      <w:r>
        <w:rPr>
          <w:rFonts w:ascii="Aptos" w:hAnsi="Aptos"/>
          <w:b/>
          <w:color w:val="16324F"/>
          <w:sz w:val="32"/>
        </w:rPr>
        <w:t>References</w:t>
      </w:r>
    </w:p>
    <w:p>
      <w:pPr>
        <w:spacing w:after="120"/>
        <w:ind w:left="317" w:hanging="317"/>
      </w:pPr>
      <w:r>
        <w:rPr>
          <w:rFonts w:ascii="Aptos" w:hAnsi="Aptos"/>
          <w:color w:val="243746"/>
          <w:sz w:val="18"/>
        </w:rPr>
        <w:t>[1] Constante, F., Silva, F., &amp; Pereira, A. (2019). DataCo SMART SUPPLY CHAIN FOR BIG DATA ANALYSIS (Version 5). Mendeley Data. https://doi.org/10.17632/8gx2fvg2k6.5</w:t>
      </w:r>
    </w:p>
    <w:p>
      <w:pPr>
        <w:spacing w:after="120"/>
        <w:ind w:left="317" w:hanging="317"/>
      </w:pPr>
      <w:r>
        <w:rPr>
          <w:rFonts w:ascii="Aptos" w:hAnsi="Aptos"/>
          <w:color w:val="243746"/>
          <w:sz w:val="18"/>
        </w:rPr>
        <w:t>[2] pandas development team. Working with missing data. pandas documentation. https://pandas.pydata.org/docs/user_guide/missing_data.html</w:t>
      </w:r>
    </w:p>
    <w:p>
      <w:pPr>
        <w:spacing w:after="120"/>
        <w:ind w:left="317" w:hanging="317"/>
      </w:pPr>
      <w:r>
        <w:rPr>
          <w:rFonts w:ascii="Aptos" w:hAnsi="Aptos"/>
          <w:color w:val="243746"/>
          <w:sz w:val="18"/>
        </w:rPr>
        <w:t>[3] NIST/SEMATECH. Detection of Outliers; and Box Plot. Engineering Statistics Handbook. https://www.itl.nist.gov/div898/handbook/eda/section3/eda35h.htm and https://www.itl.nist.gov/div898/handbook/eda/section3/boxplot.htm</w:t>
      </w:r>
    </w:p>
    <w:p>
      <w:pPr>
        <w:spacing w:after="120"/>
        <w:ind w:left="317" w:hanging="317"/>
      </w:pPr>
      <w:r>
        <w:rPr>
          <w:rFonts w:ascii="Aptos" w:hAnsi="Aptos"/>
          <w:color w:val="243746"/>
          <w:sz w:val="18"/>
        </w:rPr>
        <w:t>[4] scikit-learn developers. MinMaxScaler. https://scikit-learn.org/stable/modules/generated/sklearn.preprocessing.MinMaxScaler.html</w:t>
      </w:r>
    </w:p>
    <w:p>
      <w:pPr>
        <w:spacing w:after="120"/>
        <w:ind w:left="317" w:hanging="317"/>
      </w:pPr>
      <w:r>
        <w:rPr>
          <w:rFonts w:ascii="Aptos" w:hAnsi="Aptos"/>
          <w:color w:val="243746"/>
          <w:sz w:val="18"/>
        </w:rPr>
        <w:t>[5] scikit-learn developers. Common pitfalls and recommended practices: data leakage and inconsistent preprocessing. https://scikit-learn.org/stable/common_pitfalls.html</w:t>
      </w:r>
    </w:p>
    <w:p>
      <w:pPr>
        <w:spacing w:after="60" w:before="0"/>
      </w:pPr>
      <w:r>
        <w:rPr>
          <w:rFonts w:ascii="Aptos" w:hAnsi="Aptos"/>
          <w:i/>
          <w:sz w:val="20"/>
        </w:rPr>
        <w:t>Dataset citation/licence note: the Mendeley record identifies the dataset as CC BY 4.0. The source is credited here and in the report; the raw CSV is not embedded in the deliverable.</w:t>
      </w:r>
    </w:p>
    <w:sectPr w:rsidR="00FC693F" w:rsidRPr="0006063C" w:rsidSect="00034616">
      <w:headerReference w:type="default" r:id="rId9"/>
      <w:footerReference w:type="default" r:id="rId10"/>
      <w:pgSz w:w="12240" w:h="15840"/>
      <w:pgMar w:top="979" w:right="1123" w:bottom="979" w:left="1123" w:header="432"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C6770"/>
        <w:sz w:val="16"/>
      </w:rPr>
      <w:t xml:space="preserve">Data Collection, Cleaning &amp; Preprocessing  •  </w:t>
    </w:r>
    <w:r>
      <w:rPr>
        <w:rFonts w:ascii="Aptos" w:hAnsi="Aptos"/>
        <w:color w:val="5C6770"/>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007C91"/>
        <w:sz w:val="16"/>
      </w:rPr>
      <w:t>YUVA INTERN  |  LOGISTICS DATA ANALYST INTERN  |  WEEK 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6324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7C9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6324F"/>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Collection, Cleaning, and Preprocessing for Logistics Analysis - Week 2</dc:title>
  <dc:subject>YuvaIntern Logistics Data Analyst Internship - Week 2 task report</dc:subject>
  <dc:creator>Pravallika Gurubhagavatula</dc:creator>
  <cp:keywords>logistics, data cleaning, preprocessing, missing data, IQR, Min-Max normalization, Python</cp:keywords>
  <dc:description>generated by python-docx</dc:description>
  <cp:lastModifiedBy/>
  <cp:revision>1</cp:revision>
  <dcterms:created xsi:type="dcterms:W3CDTF">2013-12-23T23:15:00Z</dcterms:created>
  <dcterms:modified xsi:type="dcterms:W3CDTF">2013-12-23T23:15:00Z</dcterms:modified>
  <cp:category/>
</cp:coreProperties>
</file>