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F6F0B" w14:textId="77777777" w:rsidR="006B7584" w:rsidRDefault="006B7584" w:rsidP="006B7584">
      <w:pPr>
        <w:pStyle w:val="Title"/>
      </w:pPr>
      <w:proofErr w:type="spellStart"/>
      <w:r>
        <w:t>Botium</w:t>
      </w:r>
      <w:proofErr w:type="spellEnd"/>
      <w:r>
        <w:t xml:space="preserve"> Toys: Detailed Internal Security Audit Report</w:t>
      </w:r>
    </w:p>
    <w:p w14:paraId="5494EFB6" w14:textId="77777777" w:rsidR="006B7584" w:rsidRDefault="006B7584" w:rsidP="006B7584">
      <w:pPr>
        <w:pStyle w:val="Heading1"/>
      </w:pPr>
      <w:r>
        <w:t>Introduction</w:t>
      </w:r>
    </w:p>
    <w:p w14:paraId="183CBD43" w14:textId="77777777" w:rsidR="006B7584" w:rsidRDefault="006B7584" w:rsidP="006B7584">
      <w:proofErr w:type="spellStart"/>
      <w:r w:rsidRPr="006B7584">
        <w:t>Botium</w:t>
      </w:r>
      <w:proofErr w:type="spellEnd"/>
      <w:r w:rsidRPr="006B7584">
        <w:t xml:space="preserve"> Toys is a small U.S.-based company specializing in the design, manufacture, and sale of toys. Operating from a single location that functions as an office, storefront, and warehouse, </w:t>
      </w:r>
      <w:proofErr w:type="spellStart"/>
      <w:r w:rsidRPr="006B7584">
        <w:t>Botium</w:t>
      </w:r>
      <w:proofErr w:type="spellEnd"/>
      <w:r w:rsidRPr="006B7584">
        <w:t xml:space="preserve"> Toys has experienced increasing demand from both domestic and international markets, particularly through its online platform. To support ongoing growth, the IT department is responsible for securing the company's infrastructure, maintaining regulatory compliance, and preparing for future expansion. An internal audit was conducted to evaluate </w:t>
      </w:r>
      <w:proofErr w:type="spellStart"/>
      <w:r w:rsidRPr="006B7584">
        <w:t>Botium</w:t>
      </w:r>
      <w:proofErr w:type="spellEnd"/>
      <w:r w:rsidRPr="006B7584">
        <w:t xml:space="preserve"> Toys’ current security controls and compliance with applicable standards. The National Institute of Standards and Technology Cybersecurity Framework (NIST CSF) served as the foundation for this audit.</w:t>
      </w:r>
    </w:p>
    <w:p w14:paraId="0F11EBF3" w14:textId="77777777" w:rsidR="006B7584" w:rsidRDefault="006B7584" w:rsidP="006B7584">
      <w:pPr>
        <w:pStyle w:val="Heading1"/>
      </w:pPr>
      <w:r>
        <w:t>Audit Scope and Goals</w:t>
      </w:r>
    </w:p>
    <w:p w14:paraId="707773D9" w14:textId="77777777" w:rsidR="006B7584" w:rsidRDefault="006B7584" w:rsidP="006B7584">
      <w:r w:rsidRPr="006B7584">
        <w:t>The internal audit encompassed all IT-managed assets, including the company’s website, customer databases, payment systems, internal network infrastructure, and physical security systems. The primary objectives of the audit were to:</w:t>
      </w:r>
    </w:p>
    <w:p w14:paraId="029501DF" w14:textId="77777777" w:rsidR="006B7584" w:rsidRDefault="006B7584" w:rsidP="006B7584">
      <w:pPr>
        <w:pStyle w:val="ListParagraph"/>
        <w:numPr>
          <w:ilvl w:val="0"/>
          <w:numId w:val="3"/>
        </w:numPr>
      </w:pPr>
      <w:r w:rsidRPr="006B7584">
        <w:t>Assess current security controls</w:t>
      </w:r>
    </w:p>
    <w:p w14:paraId="70282B35" w14:textId="77777777" w:rsidR="006B7584" w:rsidRDefault="006B7584" w:rsidP="006B7584">
      <w:pPr>
        <w:pStyle w:val="ListParagraph"/>
        <w:numPr>
          <w:ilvl w:val="0"/>
          <w:numId w:val="3"/>
        </w:numPr>
      </w:pPr>
      <w:r w:rsidRPr="006B7584">
        <w:t>Identify gaps or weaknesses in compliance and control implementation</w:t>
      </w:r>
    </w:p>
    <w:p w14:paraId="0E6BE322" w14:textId="77777777" w:rsidR="006B7584" w:rsidRDefault="006B7584" w:rsidP="006B7584">
      <w:pPr>
        <w:pStyle w:val="ListParagraph"/>
        <w:numPr>
          <w:ilvl w:val="0"/>
          <w:numId w:val="3"/>
        </w:numPr>
      </w:pPr>
      <w:r w:rsidRPr="006B7584">
        <w:t>Recommend improvements to reduce risk and align with applicable regulatory standards</w:t>
      </w:r>
    </w:p>
    <w:p w14:paraId="06239824" w14:textId="77777777" w:rsidR="006B7584" w:rsidRDefault="006B7584" w:rsidP="006B7584">
      <w:pPr>
        <w:pStyle w:val="Heading1"/>
      </w:pPr>
      <w:r>
        <w:t>Methodology</w:t>
      </w:r>
    </w:p>
    <w:p w14:paraId="03210315" w14:textId="77777777" w:rsidR="006B7584" w:rsidRDefault="006B7584" w:rsidP="006B7584">
      <w:r w:rsidRPr="006B7584">
        <w:t xml:space="preserve">The audit was conducted using the National Institute of Standards and Technology Cybersecurity Framework (NIST CSF). This process included a review of </w:t>
      </w:r>
      <w:proofErr w:type="spellStart"/>
      <w:r w:rsidRPr="006B7584">
        <w:t>Botium</w:t>
      </w:r>
      <w:proofErr w:type="spellEnd"/>
      <w:r w:rsidRPr="006B7584">
        <w:t xml:space="preserve"> Toys’ risk assessment, evaluation of current control implementations, and assessment of adherence to industry-standard compliance practices such as Payment Card Industry Data Security Standard (PCI DSS), General Data Protection Regulation (GDPR), and System and Organizations Controls (SOC Type 1 and 2).</w:t>
      </w:r>
    </w:p>
    <w:p w14:paraId="10C796D3" w14:textId="77777777" w:rsidR="006B7584" w:rsidRDefault="006B7584" w:rsidP="006B7584">
      <w:pPr>
        <w:pStyle w:val="Heading1"/>
      </w:pPr>
      <w:r>
        <w:t>Controls Assessment Summary</w:t>
      </w:r>
    </w:p>
    <w:p w14:paraId="07436ADF" w14:textId="77777777" w:rsidR="006B7584" w:rsidRDefault="006B7584" w:rsidP="006B7584">
      <w:r w:rsidRPr="006B7584">
        <w:t xml:space="preserve">The following controls were evaluated to determine whether </w:t>
      </w:r>
      <w:proofErr w:type="spellStart"/>
      <w:r w:rsidRPr="006B7584">
        <w:t>Botium</w:t>
      </w:r>
      <w:proofErr w:type="spellEnd"/>
      <w:r w:rsidRPr="006B7584">
        <w:t xml:space="preserve"> Toys currently has each in place. Each control was marked 'Yes' or 'No' based on internal documentation, interviews with IT staff, and system review. Refer to the checklist below for the full evaluation of each control.</w:t>
      </w:r>
    </w:p>
    <w:p w14:paraId="13CB03B9" w14:textId="77777777" w:rsidR="006B7584" w:rsidRDefault="006B7584" w:rsidP="006B7584">
      <w:pPr>
        <w:pStyle w:val="Heading1"/>
      </w:pPr>
      <w:r>
        <w:lastRenderedPageBreak/>
        <w:t>Compliance Assessment Summary</w:t>
      </w:r>
    </w:p>
    <w:p w14:paraId="35F5F2AC" w14:textId="77777777" w:rsidR="006B7584" w:rsidRDefault="006B7584" w:rsidP="006B7584">
      <w:proofErr w:type="gramStart"/>
      <w:r w:rsidRPr="006B7584">
        <w:t>Compliance best</w:t>
      </w:r>
      <w:proofErr w:type="gramEnd"/>
      <w:r w:rsidRPr="006B7584">
        <w:t xml:space="preserve"> practices were assessed using three key standards:</w:t>
      </w:r>
    </w:p>
    <w:p w14:paraId="4E64B590" w14:textId="77777777" w:rsidR="006B7584" w:rsidRDefault="006B7584" w:rsidP="006B7584">
      <w:pPr>
        <w:pStyle w:val="ListParagraph"/>
        <w:numPr>
          <w:ilvl w:val="0"/>
          <w:numId w:val="4"/>
        </w:numPr>
      </w:pPr>
      <w:r w:rsidRPr="006B7584">
        <w:t>Payment Card Industry Data Security Standard (PCI DSS)</w:t>
      </w:r>
    </w:p>
    <w:p w14:paraId="63EC439B" w14:textId="77777777" w:rsidR="006B7584" w:rsidRDefault="006B7584" w:rsidP="006B7584">
      <w:pPr>
        <w:pStyle w:val="ListParagraph"/>
        <w:numPr>
          <w:ilvl w:val="0"/>
          <w:numId w:val="4"/>
        </w:numPr>
      </w:pPr>
      <w:r w:rsidRPr="006B7584">
        <w:t>General Data Protection Regulation (GDPR)</w:t>
      </w:r>
    </w:p>
    <w:p w14:paraId="422CBEBB" w14:textId="77777777" w:rsidR="006B7584" w:rsidRDefault="006B7584" w:rsidP="006B7584">
      <w:pPr>
        <w:pStyle w:val="ListParagraph"/>
        <w:numPr>
          <w:ilvl w:val="0"/>
          <w:numId w:val="4"/>
        </w:numPr>
      </w:pPr>
      <w:r w:rsidRPr="006B7584">
        <w:t>System and Organizations Controls (SOC Type 1 and 2)</w:t>
      </w:r>
    </w:p>
    <w:p w14:paraId="7540BCC1" w14:textId="77777777" w:rsidR="006B7584" w:rsidRDefault="006B7584" w:rsidP="006B7584">
      <w:proofErr w:type="spellStart"/>
      <w:r w:rsidRPr="006B7584">
        <w:t>Botium</w:t>
      </w:r>
      <w:proofErr w:type="spellEnd"/>
      <w:r w:rsidRPr="006B7584">
        <w:t xml:space="preserve"> Toys shows partial adherence across each compliance area. Detailed adherence information is provided in the checklists below.</w:t>
      </w:r>
    </w:p>
    <w:p w14:paraId="77523316" w14:textId="77777777" w:rsidR="006B7584" w:rsidRDefault="006B7584" w:rsidP="006B7584">
      <w:pPr>
        <w:pStyle w:val="Heading2"/>
      </w:pPr>
      <w:r>
        <w:t>Controls Assessment Checklist</w:t>
      </w:r>
    </w:p>
    <w:tbl>
      <w:tblPr>
        <w:tblStyle w:val="PlainTable1"/>
        <w:tblW w:w="0" w:type="auto"/>
        <w:tblLook w:val="0420" w:firstRow="1" w:lastRow="0" w:firstColumn="0" w:lastColumn="0" w:noHBand="0" w:noVBand="1"/>
      </w:tblPr>
      <w:tblGrid>
        <w:gridCol w:w="4315"/>
        <w:gridCol w:w="4315"/>
      </w:tblGrid>
      <w:tr w:rsidR="006B7584" w:rsidRPr="006B7584" w14:paraId="1AC10318" w14:textId="77777777" w:rsidTr="006B7584">
        <w:trPr>
          <w:cnfStyle w:val="100000000000" w:firstRow="1" w:lastRow="0" w:firstColumn="0" w:lastColumn="0" w:oddVBand="0" w:evenVBand="0" w:oddHBand="0" w:evenHBand="0" w:firstRowFirstColumn="0" w:firstRowLastColumn="0" w:lastRowFirstColumn="0" w:lastRowLastColumn="0"/>
        </w:trPr>
        <w:tc>
          <w:tcPr>
            <w:tcW w:w="4315" w:type="dxa"/>
          </w:tcPr>
          <w:p w14:paraId="38617A86" w14:textId="79A078EC" w:rsidR="006B7584" w:rsidRPr="006B7584" w:rsidRDefault="006B7584" w:rsidP="006B7584">
            <w:r>
              <w:t>Control</w:t>
            </w:r>
          </w:p>
        </w:tc>
        <w:tc>
          <w:tcPr>
            <w:tcW w:w="4315" w:type="dxa"/>
          </w:tcPr>
          <w:p w14:paraId="0EA63EB9" w14:textId="1C4BE155" w:rsidR="006B7584" w:rsidRPr="006B7584" w:rsidRDefault="006B7584" w:rsidP="006B7584">
            <w:r>
              <w:t>Implemented (Yes/No)</w:t>
            </w:r>
          </w:p>
        </w:tc>
      </w:tr>
      <w:tr w:rsidR="006B7584" w:rsidRPr="006B7584" w14:paraId="33B44415"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0F598064" w14:textId="25A4AF20" w:rsidR="006B7584" w:rsidRDefault="006B7584" w:rsidP="006B7584">
            <w:r>
              <w:t>Least Privilege</w:t>
            </w:r>
          </w:p>
        </w:tc>
        <w:tc>
          <w:tcPr>
            <w:tcW w:w="4315" w:type="dxa"/>
          </w:tcPr>
          <w:p w14:paraId="779F4202" w14:textId="39DF1BC4" w:rsidR="006B7584" w:rsidRDefault="006B7584" w:rsidP="006B7584">
            <w:r>
              <w:t>Yes</w:t>
            </w:r>
          </w:p>
        </w:tc>
      </w:tr>
      <w:tr w:rsidR="006B7584" w:rsidRPr="006B7584" w14:paraId="16F46326" w14:textId="77777777" w:rsidTr="006B7584">
        <w:tc>
          <w:tcPr>
            <w:tcW w:w="4315" w:type="dxa"/>
          </w:tcPr>
          <w:p w14:paraId="2E6A5F3F" w14:textId="388C6606" w:rsidR="006B7584" w:rsidRDefault="006B7584" w:rsidP="006B7584">
            <w:r>
              <w:t>Disaster recovery plans</w:t>
            </w:r>
          </w:p>
        </w:tc>
        <w:tc>
          <w:tcPr>
            <w:tcW w:w="4315" w:type="dxa"/>
          </w:tcPr>
          <w:p w14:paraId="41D4ACC2" w14:textId="7D32B703" w:rsidR="006B7584" w:rsidRDefault="006B7584" w:rsidP="006B7584">
            <w:r>
              <w:t>No</w:t>
            </w:r>
          </w:p>
        </w:tc>
      </w:tr>
      <w:tr w:rsidR="006B7584" w:rsidRPr="006B7584" w14:paraId="6C8BF12B"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28EACFFD" w14:textId="4FAFF023" w:rsidR="006B7584" w:rsidRDefault="006B7584" w:rsidP="006B7584">
            <w:r>
              <w:t>Password policies</w:t>
            </w:r>
          </w:p>
        </w:tc>
        <w:tc>
          <w:tcPr>
            <w:tcW w:w="4315" w:type="dxa"/>
          </w:tcPr>
          <w:p w14:paraId="5339D422" w14:textId="2B9C4FC0" w:rsidR="006B7584" w:rsidRDefault="006B7584" w:rsidP="006B7584">
            <w:r>
              <w:t>Yes</w:t>
            </w:r>
          </w:p>
        </w:tc>
      </w:tr>
      <w:tr w:rsidR="006B7584" w:rsidRPr="006B7584" w14:paraId="500C1F48" w14:textId="77777777" w:rsidTr="006B7584">
        <w:tc>
          <w:tcPr>
            <w:tcW w:w="4315" w:type="dxa"/>
          </w:tcPr>
          <w:p w14:paraId="5C20BFB0" w14:textId="7C18EC16" w:rsidR="006B7584" w:rsidRDefault="006B7584" w:rsidP="006B7584">
            <w:r>
              <w:t>Separation of duties</w:t>
            </w:r>
          </w:p>
        </w:tc>
        <w:tc>
          <w:tcPr>
            <w:tcW w:w="4315" w:type="dxa"/>
          </w:tcPr>
          <w:p w14:paraId="6F66A671" w14:textId="63260D83" w:rsidR="006B7584" w:rsidRDefault="006B7584" w:rsidP="006B7584">
            <w:r>
              <w:t>Yes</w:t>
            </w:r>
          </w:p>
        </w:tc>
      </w:tr>
      <w:tr w:rsidR="006B7584" w:rsidRPr="006B7584" w14:paraId="1D885F2B"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067A9B2F" w14:textId="13B7A7E0" w:rsidR="006B7584" w:rsidRDefault="006B7584" w:rsidP="006B7584">
            <w:r>
              <w:t>Firewall</w:t>
            </w:r>
          </w:p>
        </w:tc>
        <w:tc>
          <w:tcPr>
            <w:tcW w:w="4315" w:type="dxa"/>
          </w:tcPr>
          <w:p w14:paraId="28A00263" w14:textId="07AFF925" w:rsidR="006B7584" w:rsidRDefault="006B7584" w:rsidP="006B7584">
            <w:r>
              <w:t>Yes</w:t>
            </w:r>
          </w:p>
        </w:tc>
      </w:tr>
      <w:tr w:rsidR="006B7584" w:rsidRPr="006B7584" w14:paraId="618F6C2C" w14:textId="77777777" w:rsidTr="006B7584">
        <w:tc>
          <w:tcPr>
            <w:tcW w:w="4315" w:type="dxa"/>
          </w:tcPr>
          <w:p w14:paraId="26E4F6AF" w14:textId="5635B265" w:rsidR="006B7584" w:rsidRDefault="006B7584" w:rsidP="006B7584">
            <w:r>
              <w:t>Intrusion detection system (IDS)</w:t>
            </w:r>
          </w:p>
        </w:tc>
        <w:tc>
          <w:tcPr>
            <w:tcW w:w="4315" w:type="dxa"/>
          </w:tcPr>
          <w:p w14:paraId="38D86B0C" w14:textId="6509A16F" w:rsidR="006B7584" w:rsidRDefault="006B7584" w:rsidP="006B7584">
            <w:r>
              <w:t>No</w:t>
            </w:r>
          </w:p>
        </w:tc>
      </w:tr>
      <w:tr w:rsidR="006B7584" w:rsidRPr="006B7584" w14:paraId="34B487DD"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45C5F0C3" w14:textId="0CCCFE08" w:rsidR="006B7584" w:rsidRDefault="006B7584" w:rsidP="006B7584">
            <w:r>
              <w:t>Backups</w:t>
            </w:r>
          </w:p>
        </w:tc>
        <w:tc>
          <w:tcPr>
            <w:tcW w:w="4315" w:type="dxa"/>
          </w:tcPr>
          <w:p w14:paraId="55B25004" w14:textId="2F3A3D18" w:rsidR="006B7584" w:rsidRDefault="006B7584" w:rsidP="006B7584">
            <w:r>
              <w:t>Yes</w:t>
            </w:r>
          </w:p>
        </w:tc>
      </w:tr>
      <w:tr w:rsidR="006B7584" w:rsidRPr="006B7584" w14:paraId="7DBE9858" w14:textId="77777777" w:rsidTr="006B7584">
        <w:tc>
          <w:tcPr>
            <w:tcW w:w="4315" w:type="dxa"/>
          </w:tcPr>
          <w:p w14:paraId="2935AD5E" w14:textId="13E76121" w:rsidR="006B7584" w:rsidRDefault="006B7584" w:rsidP="006B7584">
            <w:r>
              <w:t>Antivirus software</w:t>
            </w:r>
          </w:p>
        </w:tc>
        <w:tc>
          <w:tcPr>
            <w:tcW w:w="4315" w:type="dxa"/>
          </w:tcPr>
          <w:p w14:paraId="0B48AA6C" w14:textId="2E85FDE4" w:rsidR="006B7584" w:rsidRDefault="006B7584" w:rsidP="006B7584">
            <w:r>
              <w:t>Yes</w:t>
            </w:r>
          </w:p>
        </w:tc>
      </w:tr>
      <w:tr w:rsidR="006B7584" w:rsidRPr="006B7584" w14:paraId="754FB09C"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10F48530" w14:textId="0D37468A" w:rsidR="006B7584" w:rsidRDefault="006B7584" w:rsidP="006B7584">
            <w:r>
              <w:t>Manual monitoring, maintenance, and intervention for legacy systems</w:t>
            </w:r>
          </w:p>
        </w:tc>
        <w:tc>
          <w:tcPr>
            <w:tcW w:w="4315" w:type="dxa"/>
          </w:tcPr>
          <w:p w14:paraId="0FA62E6C" w14:textId="1C99C4F9" w:rsidR="006B7584" w:rsidRDefault="006B7584" w:rsidP="006B7584">
            <w:r>
              <w:t>No</w:t>
            </w:r>
          </w:p>
        </w:tc>
      </w:tr>
      <w:tr w:rsidR="006B7584" w:rsidRPr="006B7584" w14:paraId="30CC5854" w14:textId="77777777" w:rsidTr="006B7584">
        <w:tc>
          <w:tcPr>
            <w:tcW w:w="4315" w:type="dxa"/>
          </w:tcPr>
          <w:p w14:paraId="24AF7A16" w14:textId="2A655087" w:rsidR="006B7584" w:rsidRDefault="006B7584" w:rsidP="006B7584">
            <w:r>
              <w:t>Encryption</w:t>
            </w:r>
          </w:p>
        </w:tc>
        <w:tc>
          <w:tcPr>
            <w:tcW w:w="4315" w:type="dxa"/>
          </w:tcPr>
          <w:p w14:paraId="7AEB5297" w14:textId="0BCF25DC" w:rsidR="006B7584" w:rsidRDefault="006B7584" w:rsidP="006B7584">
            <w:r>
              <w:t>Yes</w:t>
            </w:r>
          </w:p>
        </w:tc>
      </w:tr>
      <w:tr w:rsidR="006B7584" w:rsidRPr="006B7584" w14:paraId="3FE7BD34"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2F50F9BB" w14:textId="38525A9E" w:rsidR="006B7584" w:rsidRDefault="006B7584" w:rsidP="006B7584">
            <w:r>
              <w:t>Password management system</w:t>
            </w:r>
          </w:p>
        </w:tc>
        <w:tc>
          <w:tcPr>
            <w:tcW w:w="4315" w:type="dxa"/>
          </w:tcPr>
          <w:p w14:paraId="50895752" w14:textId="4A6B3A5C" w:rsidR="006B7584" w:rsidRDefault="006B7584" w:rsidP="006B7584">
            <w:r>
              <w:t>No</w:t>
            </w:r>
          </w:p>
        </w:tc>
      </w:tr>
      <w:tr w:rsidR="006B7584" w:rsidRPr="006B7584" w14:paraId="71B0DBF0" w14:textId="77777777" w:rsidTr="006B7584">
        <w:tc>
          <w:tcPr>
            <w:tcW w:w="4315" w:type="dxa"/>
          </w:tcPr>
          <w:p w14:paraId="6013A9E1" w14:textId="28F28CD6" w:rsidR="006B7584" w:rsidRDefault="006B7584" w:rsidP="006B7584">
            <w:r>
              <w:t>Locks (offices, storefront, warehouse)</w:t>
            </w:r>
          </w:p>
        </w:tc>
        <w:tc>
          <w:tcPr>
            <w:tcW w:w="4315" w:type="dxa"/>
          </w:tcPr>
          <w:p w14:paraId="6D6909FB" w14:textId="7C11B0F3" w:rsidR="006B7584" w:rsidRDefault="006B7584" w:rsidP="006B7584">
            <w:r>
              <w:t>Yes</w:t>
            </w:r>
          </w:p>
        </w:tc>
      </w:tr>
      <w:tr w:rsidR="006B7584" w:rsidRPr="006B7584" w14:paraId="3881BE49"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48045363" w14:textId="646DD3F4" w:rsidR="006B7584" w:rsidRDefault="006B7584" w:rsidP="006B7584">
            <w:r>
              <w:t>Closed-circuit television (CCTV) surveillance</w:t>
            </w:r>
          </w:p>
        </w:tc>
        <w:tc>
          <w:tcPr>
            <w:tcW w:w="4315" w:type="dxa"/>
          </w:tcPr>
          <w:p w14:paraId="68FFCDA9" w14:textId="646924E2" w:rsidR="006B7584" w:rsidRDefault="006B7584" w:rsidP="006B7584">
            <w:r>
              <w:t>Yes</w:t>
            </w:r>
          </w:p>
        </w:tc>
      </w:tr>
      <w:tr w:rsidR="006B7584" w:rsidRPr="006B7584" w14:paraId="6E21FF81" w14:textId="77777777" w:rsidTr="006B7584">
        <w:tc>
          <w:tcPr>
            <w:tcW w:w="4315" w:type="dxa"/>
          </w:tcPr>
          <w:p w14:paraId="73127B93" w14:textId="2953DCB8" w:rsidR="006B7584" w:rsidRDefault="006B7584" w:rsidP="006B7584">
            <w:r>
              <w:t>Fire detection/prevention (fire alarm, sprinkler system, etc.)</w:t>
            </w:r>
          </w:p>
        </w:tc>
        <w:tc>
          <w:tcPr>
            <w:tcW w:w="4315" w:type="dxa"/>
          </w:tcPr>
          <w:p w14:paraId="271BBCAD" w14:textId="11474534" w:rsidR="006B7584" w:rsidRDefault="006B7584" w:rsidP="006B7584">
            <w:r>
              <w:t>No</w:t>
            </w:r>
          </w:p>
        </w:tc>
      </w:tr>
    </w:tbl>
    <w:p w14:paraId="0568914A" w14:textId="77777777" w:rsidR="006B7584" w:rsidRDefault="006B7584" w:rsidP="006B7584">
      <w:pPr>
        <w:pStyle w:val="Heading2"/>
      </w:pPr>
      <w:r>
        <w:lastRenderedPageBreak/>
        <w:t>Compliance Checklist</w:t>
      </w:r>
    </w:p>
    <w:p w14:paraId="2C7D033F" w14:textId="77777777" w:rsidR="006B7584" w:rsidRDefault="006B7584" w:rsidP="006B7584">
      <w:pPr>
        <w:pStyle w:val="Heading3"/>
      </w:pPr>
      <w:r>
        <w:t>Payment Card Industry Data Security Standard (PCI DSS)</w:t>
      </w:r>
    </w:p>
    <w:tbl>
      <w:tblPr>
        <w:tblStyle w:val="PlainTable1"/>
        <w:tblW w:w="0" w:type="auto"/>
        <w:tblLook w:val="0420" w:firstRow="1" w:lastRow="0" w:firstColumn="0" w:lastColumn="0" w:noHBand="0" w:noVBand="1"/>
      </w:tblPr>
      <w:tblGrid>
        <w:gridCol w:w="4315"/>
        <w:gridCol w:w="4315"/>
      </w:tblGrid>
      <w:tr w:rsidR="006B7584" w:rsidRPr="006B7584" w14:paraId="5590B6FA" w14:textId="77777777" w:rsidTr="006B7584">
        <w:trPr>
          <w:cnfStyle w:val="100000000000" w:firstRow="1" w:lastRow="0" w:firstColumn="0" w:lastColumn="0" w:oddVBand="0" w:evenVBand="0" w:oddHBand="0" w:evenHBand="0" w:firstRowFirstColumn="0" w:firstRowLastColumn="0" w:lastRowFirstColumn="0" w:lastRowLastColumn="0"/>
        </w:trPr>
        <w:tc>
          <w:tcPr>
            <w:tcW w:w="4315" w:type="dxa"/>
          </w:tcPr>
          <w:p w14:paraId="55631EAD" w14:textId="2BC875EE" w:rsidR="006B7584" w:rsidRPr="006B7584" w:rsidRDefault="006B7584" w:rsidP="006B7584">
            <w:r>
              <w:t>Best Practice</w:t>
            </w:r>
          </w:p>
        </w:tc>
        <w:tc>
          <w:tcPr>
            <w:tcW w:w="4315" w:type="dxa"/>
          </w:tcPr>
          <w:p w14:paraId="569CB9CC" w14:textId="4460EE86" w:rsidR="006B7584" w:rsidRPr="006B7584" w:rsidRDefault="006B7584" w:rsidP="006B7584">
            <w:r>
              <w:t>Adhered (Yes/No)</w:t>
            </w:r>
          </w:p>
        </w:tc>
      </w:tr>
      <w:tr w:rsidR="006B7584" w:rsidRPr="006B7584" w14:paraId="4C49CDAD"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05253799" w14:textId="466435CC" w:rsidR="006B7584" w:rsidRDefault="006B7584" w:rsidP="006B7584">
            <w:r>
              <w:t>Only authorized users have access to customers’ credit card information.</w:t>
            </w:r>
          </w:p>
        </w:tc>
        <w:tc>
          <w:tcPr>
            <w:tcW w:w="4315" w:type="dxa"/>
          </w:tcPr>
          <w:p w14:paraId="7FD29277" w14:textId="0D70A5AF" w:rsidR="006B7584" w:rsidRDefault="006B7584" w:rsidP="006B7584">
            <w:r>
              <w:t>Yes</w:t>
            </w:r>
          </w:p>
        </w:tc>
      </w:tr>
      <w:tr w:rsidR="006B7584" w:rsidRPr="006B7584" w14:paraId="189EE9BD" w14:textId="77777777" w:rsidTr="006B7584">
        <w:tc>
          <w:tcPr>
            <w:tcW w:w="4315" w:type="dxa"/>
          </w:tcPr>
          <w:p w14:paraId="06A67580" w14:textId="2379AB4A" w:rsidR="006B7584" w:rsidRDefault="006B7584" w:rsidP="006B7584">
            <w:r>
              <w:t>Credit card information is stored, accepted, processed, and transmitted internally, in a secure environment.</w:t>
            </w:r>
          </w:p>
        </w:tc>
        <w:tc>
          <w:tcPr>
            <w:tcW w:w="4315" w:type="dxa"/>
          </w:tcPr>
          <w:p w14:paraId="3AF65EC8" w14:textId="0DACEF22" w:rsidR="006B7584" w:rsidRDefault="006B7584" w:rsidP="006B7584">
            <w:r>
              <w:t>Yes</w:t>
            </w:r>
          </w:p>
        </w:tc>
      </w:tr>
      <w:tr w:rsidR="006B7584" w:rsidRPr="006B7584" w14:paraId="6B475983"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241B1BCC" w14:textId="2B41F05A" w:rsidR="006B7584" w:rsidRDefault="006B7584" w:rsidP="006B7584">
            <w:r>
              <w:t>Implement data encryption procedures to better secure credit card transaction touchpoints and data.</w:t>
            </w:r>
          </w:p>
        </w:tc>
        <w:tc>
          <w:tcPr>
            <w:tcW w:w="4315" w:type="dxa"/>
          </w:tcPr>
          <w:p w14:paraId="3F062F0A" w14:textId="1BAE669E" w:rsidR="006B7584" w:rsidRDefault="006B7584" w:rsidP="006B7584">
            <w:r>
              <w:t>Yes</w:t>
            </w:r>
          </w:p>
        </w:tc>
      </w:tr>
      <w:tr w:rsidR="006B7584" w:rsidRPr="006B7584" w14:paraId="2C3AFECA" w14:textId="77777777" w:rsidTr="006B7584">
        <w:tc>
          <w:tcPr>
            <w:tcW w:w="4315" w:type="dxa"/>
          </w:tcPr>
          <w:p w14:paraId="32C1E0D3" w14:textId="6E4D5735" w:rsidR="006B7584" w:rsidRDefault="006B7584" w:rsidP="006B7584">
            <w:r>
              <w:t>Adopt secure password management policies.</w:t>
            </w:r>
          </w:p>
        </w:tc>
        <w:tc>
          <w:tcPr>
            <w:tcW w:w="4315" w:type="dxa"/>
          </w:tcPr>
          <w:p w14:paraId="52DABABE" w14:textId="28178591" w:rsidR="006B7584" w:rsidRDefault="006B7584" w:rsidP="006B7584">
            <w:r>
              <w:t>No</w:t>
            </w:r>
          </w:p>
        </w:tc>
      </w:tr>
    </w:tbl>
    <w:p w14:paraId="67362C92" w14:textId="77777777" w:rsidR="006B7584" w:rsidRDefault="006B7584" w:rsidP="006B7584">
      <w:pPr>
        <w:pStyle w:val="Heading3"/>
      </w:pPr>
      <w:r>
        <w:t>General Data Protection Regulation (GDPR)</w:t>
      </w:r>
    </w:p>
    <w:tbl>
      <w:tblPr>
        <w:tblStyle w:val="PlainTable1"/>
        <w:tblW w:w="0" w:type="auto"/>
        <w:tblLook w:val="0420" w:firstRow="1" w:lastRow="0" w:firstColumn="0" w:lastColumn="0" w:noHBand="0" w:noVBand="1"/>
      </w:tblPr>
      <w:tblGrid>
        <w:gridCol w:w="4315"/>
        <w:gridCol w:w="4315"/>
      </w:tblGrid>
      <w:tr w:rsidR="006B7584" w:rsidRPr="006B7584" w14:paraId="3446494C" w14:textId="77777777" w:rsidTr="006B7584">
        <w:trPr>
          <w:cnfStyle w:val="100000000000" w:firstRow="1" w:lastRow="0" w:firstColumn="0" w:lastColumn="0" w:oddVBand="0" w:evenVBand="0" w:oddHBand="0" w:evenHBand="0" w:firstRowFirstColumn="0" w:firstRowLastColumn="0" w:lastRowFirstColumn="0" w:lastRowLastColumn="0"/>
        </w:trPr>
        <w:tc>
          <w:tcPr>
            <w:tcW w:w="4315" w:type="dxa"/>
          </w:tcPr>
          <w:p w14:paraId="507C2DDB" w14:textId="0776AE5F" w:rsidR="006B7584" w:rsidRPr="006B7584" w:rsidRDefault="006B7584" w:rsidP="006B7584">
            <w:r>
              <w:t>Best Practice</w:t>
            </w:r>
          </w:p>
        </w:tc>
        <w:tc>
          <w:tcPr>
            <w:tcW w:w="4315" w:type="dxa"/>
          </w:tcPr>
          <w:p w14:paraId="46F8078B" w14:textId="6F0C2A1B" w:rsidR="006B7584" w:rsidRPr="006B7584" w:rsidRDefault="006B7584" w:rsidP="006B7584">
            <w:r>
              <w:t>Adhered (Yes/No)</w:t>
            </w:r>
          </w:p>
        </w:tc>
      </w:tr>
      <w:tr w:rsidR="006B7584" w:rsidRPr="006B7584" w14:paraId="239AC9F9"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0699E412" w14:textId="04432449" w:rsidR="006B7584" w:rsidRDefault="006B7584" w:rsidP="006B7584">
            <w:r>
              <w:t>E.U. customers’ data is kept private/secured.</w:t>
            </w:r>
          </w:p>
        </w:tc>
        <w:tc>
          <w:tcPr>
            <w:tcW w:w="4315" w:type="dxa"/>
          </w:tcPr>
          <w:p w14:paraId="58CF4BC6" w14:textId="1ED3BB4B" w:rsidR="006B7584" w:rsidRDefault="006B7584" w:rsidP="006B7584">
            <w:r>
              <w:t>Yes</w:t>
            </w:r>
          </w:p>
        </w:tc>
      </w:tr>
      <w:tr w:rsidR="006B7584" w:rsidRPr="006B7584" w14:paraId="599BED61" w14:textId="77777777" w:rsidTr="006B7584">
        <w:tc>
          <w:tcPr>
            <w:tcW w:w="4315" w:type="dxa"/>
          </w:tcPr>
          <w:p w14:paraId="1EDB7A64" w14:textId="4DEE7782" w:rsidR="006B7584" w:rsidRDefault="006B7584" w:rsidP="006B7584">
            <w:r>
              <w:t>There is a plan in place to notify E.U. customers within 72 hours if their data is compromised/there is a breach.</w:t>
            </w:r>
          </w:p>
        </w:tc>
        <w:tc>
          <w:tcPr>
            <w:tcW w:w="4315" w:type="dxa"/>
          </w:tcPr>
          <w:p w14:paraId="64F301E0" w14:textId="506B84D3" w:rsidR="006B7584" w:rsidRDefault="006B7584" w:rsidP="006B7584">
            <w:r>
              <w:t>No</w:t>
            </w:r>
          </w:p>
        </w:tc>
      </w:tr>
      <w:tr w:rsidR="006B7584" w:rsidRPr="006B7584" w14:paraId="6713ED86"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46854E04" w14:textId="028C116A" w:rsidR="006B7584" w:rsidRDefault="006B7584" w:rsidP="006B7584">
            <w:r>
              <w:t>Ensure data is properly classified and inventoried.</w:t>
            </w:r>
          </w:p>
        </w:tc>
        <w:tc>
          <w:tcPr>
            <w:tcW w:w="4315" w:type="dxa"/>
          </w:tcPr>
          <w:p w14:paraId="030EBA76" w14:textId="5284D0EB" w:rsidR="006B7584" w:rsidRDefault="006B7584" w:rsidP="006B7584">
            <w:r>
              <w:t>No</w:t>
            </w:r>
          </w:p>
        </w:tc>
      </w:tr>
      <w:tr w:rsidR="006B7584" w:rsidRPr="006B7584" w14:paraId="57E9E188" w14:textId="77777777" w:rsidTr="006B7584">
        <w:tc>
          <w:tcPr>
            <w:tcW w:w="4315" w:type="dxa"/>
          </w:tcPr>
          <w:p w14:paraId="1DA06516" w14:textId="427E0CB3" w:rsidR="006B7584" w:rsidRDefault="006B7584" w:rsidP="006B7584">
            <w:r>
              <w:t>Enforce privacy policies, procedures, and processes to properly document and maintain data.</w:t>
            </w:r>
          </w:p>
        </w:tc>
        <w:tc>
          <w:tcPr>
            <w:tcW w:w="4315" w:type="dxa"/>
          </w:tcPr>
          <w:p w14:paraId="2D52ADFF" w14:textId="78BA1740" w:rsidR="006B7584" w:rsidRDefault="006B7584" w:rsidP="006B7584">
            <w:r>
              <w:t>Yes</w:t>
            </w:r>
          </w:p>
        </w:tc>
      </w:tr>
    </w:tbl>
    <w:p w14:paraId="36CF62C8" w14:textId="77777777" w:rsidR="006B7584" w:rsidRDefault="006B7584" w:rsidP="006B7584">
      <w:pPr>
        <w:pStyle w:val="Heading3"/>
      </w:pPr>
      <w:r>
        <w:t>System and Organizations Controls (SOC Type 1, SOC Type 2)</w:t>
      </w:r>
    </w:p>
    <w:tbl>
      <w:tblPr>
        <w:tblStyle w:val="PlainTable1"/>
        <w:tblW w:w="0" w:type="auto"/>
        <w:tblLook w:val="0420" w:firstRow="1" w:lastRow="0" w:firstColumn="0" w:lastColumn="0" w:noHBand="0" w:noVBand="1"/>
      </w:tblPr>
      <w:tblGrid>
        <w:gridCol w:w="4315"/>
        <w:gridCol w:w="4315"/>
      </w:tblGrid>
      <w:tr w:rsidR="006B7584" w:rsidRPr="006B7584" w14:paraId="56C6E2F4" w14:textId="77777777" w:rsidTr="006B7584">
        <w:trPr>
          <w:cnfStyle w:val="100000000000" w:firstRow="1" w:lastRow="0" w:firstColumn="0" w:lastColumn="0" w:oddVBand="0" w:evenVBand="0" w:oddHBand="0" w:evenHBand="0" w:firstRowFirstColumn="0" w:firstRowLastColumn="0" w:lastRowFirstColumn="0" w:lastRowLastColumn="0"/>
        </w:trPr>
        <w:tc>
          <w:tcPr>
            <w:tcW w:w="4315" w:type="dxa"/>
          </w:tcPr>
          <w:p w14:paraId="00EC88E8" w14:textId="26FD9334" w:rsidR="006B7584" w:rsidRPr="006B7584" w:rsidRDefault="006B7584" w:rsidP="006B7584">
            <w:r>
              <w:t>Best Practice / Statement</w:t>
            </w:r>
          </w:p>
        </w:tc>
        <w:tc>
          <w:tcPr>
            <w:tcW w:w="4315" w:type="dxa"/>
          </w:tcPr>
          <w:p w14:paraId="0D4CCFA7" w14:textId="69050AE7" w:rsidR="006B7584" w:rsidRPr="006B7584" w:rsidRDefault="006B7584" w:rsidP="006B7584">
            <w:r>
              <w:t>Adhered / Response</w:t>
            </w:r>
          </w:p>
        </w:tc>
      </w:tr>
      <w:tr w:rsidR="006B7584" w:rsidRPr="006B7584" w14:paraId="4B902B42"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4386DFF4" w14:textId="74D86787" w:rsidR="006B7584" w:rsidRDefault="006B7584" w:rsidP="006B7584">
            <w:r>
              <w:t>User access policies are established.</w:t>
            </w:r>
          </w:p>
        </w:tc>
        <w:tc>
          <w:tcPr>
            <w:tcW w:w="4315" w:type="dxa"/>
          </w:tcPr>
          <w:p w14:paraId="284A75A6" w14:textId="2D089D1B" w:rsidR="006B7584" w:rsidRDefault="006B7584" w:rsidP="006B7584">
            <w:r>
              <w:t>Yes</w:t>
            </w:r>
          </w:p>
        </w:tc>
      </w:tr>
      <w:tr w:rsidR="006B7584" w:rsidRPr="006B7584" w14:paraId="1B16D4C1" w14:textId="77777777" w:rsidTr="006B7584">
        <w:tc>
          <w:tcPr>
            <w:tcW w:w="4315" w:type="dxa"/>
          </w:tcPr>
          <w:p w14:paraId="2D476133" w14:textId="55ECADEE" w:rsidR="006B7584" w:rsidRDefault="006B7584" w:rsidP="006B7584">
            <w:r>
              <w:t>Sensitive data (PII/SPII) is confidential/private.</w:t>
            </w:r>
          </w:p>
        </w:tc>
        <w:tc>
          <w:tcPr>
            <w:tcW w:w="4315" w:type="dxa"/>
          </w:tcPr>
          <w:p w14:paraId="2668BC91" w14:textId="73D957AD" w:rsidR="006B7584" w:rsidRDefault="006B7584" w:rsidP="006B7584">
            <w:r>
              <w:t>Yes</w:t>
            </w:r>
          </w:p>
        </w:tc>
      </w:tr>
      <w:tr w:rsidR="006B7584" w:rsidRPr="006B7584" w14:paraId="4AE44AAE" w14:textId="77777777" w:rsidTr="006B7584">
        <w:trPr>
          <w:cnfStyle w:val="000000100000" w:firstRow="0" w:lastRow="0" w:firstColumn="0" w:lastColumn="0" w:oddVBand="0" w:evenVBand="0" w:oddHBand="1" w:evenHBand="0" w:firstRowFirstColumn="0" w:firstRowLastColumn="0" w:lastRowFirstColumn="0" w:lastRowLastColumn="0"/>
        </w:trPr>
        <w:tc>
          <w:tcPr>
            <w:tcW w:w="4315" w:type="dxa"/>
          </w:tcPr>
          <w:p w14:paraId="34E48FC8" w14:textId="3311CA7B" w:rsidR="006B7584" w:rsidRDefault="006B7584" w:rsidP="006B7584">
            <w:r>
              <w:lastRenderedPageBreak/>
              <w:t>Data integrity ensures the data is consistent, complete, accurate, and has been validated.</w:t>
            </w:r>
          </w:p>
        </w:tc>
        <w:tc>
          <w:tcPr>
            <w:tcW w:w="4315" w:type="dxa"/>
          </w:tcPr>
          <w:p w14:paraId="3F6CC592" w14:textId="4C919F48" w:rsidR="006B7584" w:rsidRDefault="006B7584" w:rsidP="006B7584">
            <w:r>
              <w:t>Yes</w:t>
            </w:r>
          </w:p>
        </w:tc>
      </w:tr>
      <w:tr w:rsidR="006B7584" w:rsidRPr="006B7584" w14:paraId="32D762D8" w14:textId="77777777" w:rsidTr="006B7584">
        <w:tc>
          <w:tcPr>
            <w:tcW w:w="4315" w:type="dxa"/>
          </w:tcPr>
          <w:p w14:paraId="48B91809" w14:textId="0BF7D203" w:rsidR="006B7584" w:rsidRDefault="006B7584" w:rsidP="006B7584">
            <w:r>
              <w:t>Data is available to individuals authorized to access it.</w:t>
            </w:r>
          </w:p>
        </w:tc>
        <w:tc>
          <w:tcPr>
            <w:tcW w:w="4315" w:type="dxa"/>
          </w:tcPr>
          <w:p w14:paraId="7FDBEB1B" w14:textId="3D4072E4" w:rsidR="006B7584" w:rsidRDefault="006B7584" w:rsidP="006B7584">
            <w:r>
              <w:t>Yes</w:t>
            </w:r>
          </w:p>
        </w:tc>
      </w:tr>
    </w:tbl>
    <w:p w14:paraId="15EA6E0D" w14:textId="77777777" w:rsidR="006B7584" w:rsidRDefault="006B7584" w:rsidP="006B7584">
      <w:pPr>
        <w:pStyle w:val="Heading1"/>
      </w:pPr>
      <w:r>
        <w:t>Conclusion</w:t>
      </w:r>
    </w:p>
    <w:p w14:paraId="21C44BE9" w14:textId="77777777" w:rsidR="006B7584" w:rsidRDefault="006B7584" w:rsidP="006B7584">
      <w:proofErr w:type="spellStart"/>
      <w:r w:rsidRPr="006B7584">
        <w:t>Botium</w:t>
      </w:r>
      <w:proofErr w:type="spellEnd"/>
      <w:r w:rsidRPr="006B7584">
        <w:t xml:space="preserve"> Toys has taken an important first step in strengthening its IT security and regulatory compliance by conducting this internal audit. Addressing the identified gaps will significantly improve the company’s ability to manage risk, protect customer data, and ensure the continuity of business operations as the company continues to grow.</w:t>
      </w:r>
    </w:p>
    <w:p w14:paraId="2B532228" w14:textId="77777777" w:rsidR="006B7584" w:rsidRDefault="006B7584" w:rsidP="006B7584">
      <w:pPr>
        <w:pStyle w:val="Heading1"/>
      </w:pPr>
      <w:r>
        <w:t>Recommendations</w:t>
      </w:r>
    </w:p>
    <w:p w14:paraId="3F723CEC" w14:textId="77777777" w:rsidR="006B7584" w:rsidRDefault="006B7584" w:rsidP="006B7584">
      <w:pPr>
        <w:pStyle w:val="ListParagraph"/>
        <w:numPr>
          <w:ilvl w:val="0"/>
          <w:numId w:val="5"/>
        </w:numPr>
      </w:pPr>
      <w:r w:rsidRPr="006B7584">
        <w:t>Develop and document a disaster recovery plan to ensure resilience during unexpected outages or disasters.</w:t>
      </w:r>
    </w:p>
    <w:p w14:paraId="3E254EBA" w14:textId="77777777" w:rsidR="006B7584" w:rsidRDefault="006B7584" w:rsidP="006B7584">
      <w:pPr>
        <w:pStyle w:val="ListParagraph"/>
        <w:numPr>
          <w:ilvl w:val="0"/>
          <w:numId w:val="5"/>
        </w:numPr>
      </w:pPr>
      <w:r w:rsidRPr="006B7584">
        <w:t>Implement an intrusion detection system (IDS) to detect and respond to unauthorized access attempts.</w:t>
      </w:r>
    </w:p>
    <w:p w14:paraId="6101602F" w14:textId="77777777" w:rsidR="006B7584" w:rsidRDefault="006B7584" w:rsidP="006B7584">
      <w:pPr>
        <w:pStyle w:val="ListParagraph"/>
        <w:numPr>
          <w:ilvl w:val="0"/>
          <w:numId w:val="5"/>
        </w:numPr>
      </w:pPr>
      <w:r w:rsidRPr="006B7584">
        <w:t>Establish a formal password management system to support policy enforcement.</w:t>
      </w:r>
    </w:p>
    <w:p w14:paraId="01B845F3" w14:textId="77777777" w:rsidR="006B7584" w:rsidRDefault="006B7584" w:rsidP="006B7584">
      <w:pPr>
        <w:pStyle w:val="ListParagraph"/>
        <w:numPr>
          <w:ilvl w:val="0"/>
          <w:numId w:val="5"/>
        </w:numPr>
      </w:pPr>
      <w:r w:rsidRPr="006B7584">
        <w:t>Automate monitoring and maintenance for legacy systems to reduce risk and increase efficiency.</w:t>
      </w:r>
    </w:p>
    <w:p w14:paraId="797040B6" w14:textId="77777777" w:rsidR="006B7584" w:rsidRDefault="006B7584" w:rsidP="006B7584">
      <w:pPr>
        <w:pStyle w:val="ListParagraph"/>
        <w:numPr>
          <w:ilvl w:val="0"/>
          <w:numId w:val="5"/>
        </w:numPr>
      </w:pPr>
      <w:r w:rsidRPr="006B7584">
        <w:t>Create a GDPR-compliant breach notification process to notify EU customers within 72 hours.</w:t>
      </w:r>
    </w:p>
    <w:p w14:paraId="2D50CE42" w14:textId="77777777" w:rsidR="006B7584" w:rsidRDefault="006B7584" w:rsidP="006B7584">
      <w:pPr>
        <w:pStyle w:val="ListParagraph"/>
        <w:numPr>
          <w:ilvl w:val="0"/>
          <w:numId w:val="5"/>
        </w:numPr>
      </w:pPr>
      <w:r w:rsidRPr="006B7584">
        <w:t>Improve data classification and inventory practices to enhance visibility and accountability.</w:t>
      </w:r>
    </w:p>
    <w:p w14:paraId="54E79167" w14:textId="10C33EE7" w:rsidR="006B7584" w:rsidRPr="006B7584" w:rsidRDefault="006B7584" w:rsidP="006B7584">
      <w:pPr>
        <w:pStyle w:val="ListParagraph"/>
        <w:numPr>
          <w:ilvl w:val="0"/>
          <w:numId w:val="5"/>
        </w:numPr>
      </w:pPr>
      <w:r w:rsidRPr="006B7584">
        <w:t>Promote the adoption of secure password management practices aligned with PCI DSS.</w:t>
      </w:r>
    </w:p>
    <w:p w14:paraId="5E9A5EF8" w14:textId="32B7EC0E" w:rsidR="006B7584" w:rsidRDefault="006B7584"/>
    <w:sectPr w:rsidR="006B7584" w:rsidSect="006B75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62AF2"/>
    <w:multiLevelType w:val="hybridMultilevel"/>
    <w:tmpl w:val="6604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47376"/>
    <w:multiLevelType w:val="multilevel"/>
    <w:tmpl w:val="6AD299F6"/>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343D387E"/>
    <w:multiLevelType w:val="hybridMultilevel"/>
    <w:tmpl w:val="E6F2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D609A"/>
    <w:multiLevelType w:val="hybridMultilevel"/>
    <w:tmpl w:val="6EB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E247C"/>
    <w:multiLevelType w:val="hybridMultilevel"/>
    <w:tmpl w:val="D616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25319">
    <w:abstractNumId w:val="0"/>
  </w:num>
  <w:num w:numId="2" w16cid:durableId="642664953">
    <w:abstractNumId w:val="1"/>
  </w:num>
  <w:num w:numId="3" w16cid:durableId="1883782059">
    <w:abstractNumId w:val="3"/>
  </w:num>
  <w:num w:numId="4" w16cid:durableId="401410727">
    <w:abstractNumId w:val="4"/>
  </w:num>
  <w:num w:numId="5" w16cid:durableId="268896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584"/>
    <w:rsid w:val="006B7584"/>
    <w:rsid w:val="00E328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F2B0"/>
  <w15:chartTrackingRefBased/>
  <w15:docId w15:val="{B4286C4E-1C82-4198-B964-47C2CF9A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584"/>
    <w:pPr>
      <w:spacing w:after="200" w:line="276" w:lineRule="auto"/>
    </w:pPr>
    <w:rPr>
      <w:rFonts w:eastAsiaTheme="minorEastAsia"/>
      <w:kern w:val="0"/>
      <w:sz w:val="22"/>
      <w:szCs w:val="22"/>
      <w:lang w:bidi="ar-SA"/>
      <w14:ligatures w14:val="none"/>
    </w:rPr>
  </w:style>
  <w:style w:type="paragraph" w:styleId="Heading1">
    <w:name w:val="heading 1"/>
    <w:basedOn w:val="Normal"/>
    <w:next w:val="Normal"/>
    <w:link w:val="Heading1Char"/>
    <w:uiPriority w:val="9"/>
    <w:qFormat/>
    <w:rsid w:val="006B758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6B758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6B7584"/>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6B75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5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5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5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5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5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8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6B758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6B758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6B75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5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5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5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5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584"/>
    <w:rPr>
      <w:rFonts w:eastAsiaTheme="majorEastAsia" w:cstheme="majorBidi"/>
      <w:color w:val="272727" w:themeColor="text1" w:themeTint="D8"/>
    </w:rPr>
  </w:style>
  <w:style w:type="paragraph" w:styleId="Title">
    <w:name w:val="Title"/>
    <w:basedOn w:val="Normal"/>
    <w:next w:val="Normal"/>
    <w:link w:val="TitleChar"/>
    <w:uiPriority w:val="10"/>
    <w:qFormat/>
    <w:rsid w:val="006B758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B758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B758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B758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B7584"/>
    <w:pPr>
      <w:spacing w:before="160"/>
      <w:jc w:val="center"/>
    </w:pPr>
    <w:rPr>
      <w:i/>
      <w:iCs/>
      <w:color w:val="404040" w:themeColor="text1" w:themeTint="BF"/>
    </w:rPr>
  </w:style>
  <w:style w:type="character" w:customStyle="1" w:styleId="QuoteChar">
    <w:name w:val="Quote Char"/>
    <w:basedOn w:val="DefaultParagraphFont"/>
    <w:link w:val="Quote"/>
    <w:uiPriority w:val="29"/>
    <w:rsid w:val="006B7584"/>
    <w:rPr>
      <w:i/>
      <w:iCs/>
      <w:color w:val="404040" w:themeColor="text1" w:themeTint="BF"/>
    </w:rPr>
  </w:style>
  <w:style w:type="paragraph" w:styleId="ListParagraph">
    <w:name w:val="List Paragraph"/>
    <w:basedOn w:val="Normal"/>
    <w:uiPriority w:val="34"/>
    <w:qFormat/>
    <w:rsid w:val="006B7584"/>
    <w:pPr>
      <w:ind w:left="720"/>
      <w:contextualSpacing/>
    </w:pPr>
  </w:style>
  <w:style w:type="character" w:styleId="IntenseEmphasis">
    <w:name w:val="Intense Emphasis"/>
    <w:basedOn w:val="DefaultParagraphFont"/>
    <w:uiPriority w:val="21"/>
    <w:qFormat/>
    <w:rsid w:val="006B7584"/>
    <w:rPr>
      <w:i/>
      <w:iCs/>
      <w:color w:val="0F4761" w:themeColor="accent1" w:themeShade="BF"/>
    </w:rPr>
  </w:style>
  <w:style w:type="paragraph" w:styleId="IntenseQuote">
    <w:name w:val="Intense Quote"/>
    <w:basedOn w:val="Normal"/>
    <w:next w:val="Normal"/>
    <w:link w:val="IntenseQuoteChar"/>
    <w:uiPriority w:val="30"/>
    <w:qFormat/>
    <w:rsid w:val="006B7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584"/>
    <w:rPr>
      <w:i/>
      <w:iCs/>
      <w:color w:val="0F4761" w:themeColor="accent1" w:themeShade="BF"/>
    </w:rPr>
  </w:style>
  <w:style w:type="character" w:styleId="IntenseReference">
    <w:name w:val="Intense Reference"/>
    <w:basedOn w:val="DefaultParagraphFont"/>
    <w:uiPriority w:val="32"/>
    <w:qFormat/>
    <w:rsid w:val="006B7584"/>
    <w:rPr>
      <w:b/>
      <w:bCs/>
      <w:smallCaps/>
      <w:color w:val="0F4761" w:themeColor="accent1" w:themeShade="BF"/>
      <w:spacing w:val="5"/>
    </w:rPr>
  </w:style>
  <w:style w:type="table" w:styleId="PlainTable1">
    <w:name w:val="Plain Table 1"/>
    <w:basedOn w:val="TableNormal"/>
    <w:uiPriority w:val="99"/>
    <w:rsid w:val="006B7584"/>
    <w:pPr>
      <w:spacing w:after="0" w:line="240" w:lineRule="auto"/>
    </w:pPr>
    <w:rPr>
      <w:rFonts w:eastAsiaTheme="minorEastAsia"/>
      <w:kern w:val="0"/>
      <w:sz w:val="22"/>
      <w:szCs w:val="22"/>
      <w:lang w:bidi="ar-SA"/>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B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4</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Kishore (LinkedIn Supplier)</dc:creator>
  <cp:keywords/>
  <dc:description/>
  <cp:lastModifiedBy>Praveen Kishore (LinkedIn Supplier)</cp:lastModifiedBy>
  <cp:revision>1</cp:revision>
  <dcterms:created xsi:type="dcterms:W3CDTF">2025-07-23T20:28:00Z</dcterms:created>
  <dcterms:modified xsi:type="dcterms:W3CDTF">2025-07-23T20:33:00Z</dcterms:modified>
</cp:coreProperties>
</file>