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Understanding Generative AI in 2025</w:t>
      </w:r>
    </w:p>
    <w:p>
      <w:r>
        <w:t>Generative AI has transformed how businesses operate, create content, and interact with customers. Large Language Models like GPT-4, Claude, and Llama have become core infrastructure for many organizations.</w:t>
      </w:r>
    </w:p>
    <w:p>
      <w:pPr>
        <w:pStyle w:val="Heading1"/>
      </w:pPr>
      <w:r>
        <w:t>Key Trends</w:t>
      </w:r>
    </w:p>
    <w:p>
      <w:r>
        <w:t>Retrieval-Augmented Generation (RAG) is now the dominant pattern for enterprise AI deployments. Rather than relying on expensive model fine-tuning, RAG allows companies to inject proprietary data at inference time, keeping models accurate and up-to-date.</w:t>
      </w:r>
    </w:p>
    <w:p>
      <w:r>
        <w:t>Agentic AI systems are gaining momentum. Rather than simple question-answer patterns, AI agents can now plan multi-step tasks, use tools, browse the web, write code, and execute workflows autonomously.</w:t>
      </w:r>
    </w:p>
    <w:p>
      <w:r>
        <w:t>Multimodal models that understand both text and images are becoming standard. This enables new use cases in document analysis, visual question-answering, and content creation.</w:t>
      </w:r>
    </w:p>
    <w:p>
      <w:pPr>
        <w:pStyle w:val="Heading1"/>
      </w:pPr>
      <w:r>
        <w:t>Business Impact</w:t>
      </w:r>
    </w:p>
    <w:p>
      <w:r>
        <w:t>Organizations adopting AI report 30-40 percent productivity gains in knowledge work. Customer support automation reduces resolution times by 60 percent. Code generation tools cut development cycles by up to 50 percent.</w:t>
      </w:r>
    </w:p>
    <w:p>
      <w:r>
        <w:t>The companies winning with AI are those that treat it as infrastructure, not a feature. They invest in data pipelines, evaluation frameworks, and AI-aware workflows rather than just plugging in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