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496" w:lineRule="exact" w:before="7326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80"/>
          <w:sz w:val="50"/>
        </w:rPr>
        <w:t>Appendix K</w:t>
      </w:r>
    </w:p>
    <w:p>
      <w:pPr>
        <w:autoSpaceDN w:val="0"/>
        <w:autoSpaceDE w:val="0"/>
        <w:widowControl/>
        <w:spacing w:line="496" w:lineRule="exact" w:before="778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80"/>
          <w:sz w:val="50"/>
        </w:rPr>
        <w:t>B2B Operational</w:t>
      </w:r>
    </w:p>
    <w:p>
      <w:pPr>
        <w:autoSpaceDN w:val="0"/>
        <w:autoSpaceDE w:val="0"/>
        <w:widowControl/>
        <w:spacing w:line="496" w:lineRule="exact" w:before="492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80"/>
          <w:sz w:val="50"/>
        </w:rPr>
        <w:t>Governance Triad</w:t>
      </w:r>
    </w:p>
    <w:p>
      <w:pPr>
        <w:autoSpaceDN w:val="0"/>
        <w:autoSpaceDE w:val="0"/>
        <w:widowControl/>
        <w:spacing w:line="496" w:lineRule="exact" w:before="0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80"/>
          <w:sz w:val="50"/>
        </w:rPr>
        <w:t>(Transformation, Risk, Trust)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1409700</wp:posOffset>
            </wp:positionH>
            <wp:positionV relativeFrom="page">
              <wp:posOffset>6057900</wp:posOffset>
            </wp:positionV>
            <wp:extent cx="4737100" cy="18669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7100" cy="1866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8" w:lineRule="exact" w:before="0" w:after="0"/>
        <w:ind w:left="0" w:right="2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726</w:t>
      </w:r>
    </w:p>
    <w:p>
      <w:pPr>
        <w:autoSpaceDN w:val="0"/>
        <w:autoSpaceDE w:val="0"/>
        <w:widowControl/>
        <w:spacing w:line="240" w:lineRule="exact" w:before="682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Appendix K Framing: The B2B Operational Governance Triad</w:t>
      </w:r>
    </w:p>
    <w:p>
      <w:pPr>
        <w:autoSpaceDN w:val="0"/>
        <w:autoSpaceDE w:val="0"/>
        <w:widowControl/>
        <w:spacing w:line="478" w:lineRule="exact" w:before="236" w:after="0"/>
        <w:ind w:left="0" w:right="2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What this appendix is.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 B2B-dominant operational defensibility pack covering three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stress dimensions on which a governance-enabled clinical AI system must remain stable: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transformation readiness (will the organisation absorb change?), risk governance (will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system stay safe under operational pressure?), and trust protection (will clinician +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caregiver trust survive the operational journey?). Each topic is operationalised as eight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dimensions with constructs, indicators, and a maturity flow.</w:t>
      </w:r>
    </w:p>
    <w:p>
      <w:pPr>
        <w:autoSpaceDN w:val="0"/>
        <w:tabs>
          <w:tab w:pos="816" w:val="left"/>
        </w:tabs>
        <w:autoSpaceDE w:val="0"/>
        <w:widowControl/>
        <w:spacing w:line="478" w:lineRule="exact" w:before="2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What this appendix is not.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It is not a generic change-management framework. It 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a cybersecurity engineering specification. It is not a consumer-app emotional-wellness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study.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triad is positioned at the B2B operational layer where the dissertation’s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contribution lives: governance-enabled clinician trust and adoption.</w:t>
      </w:r>
    </w:p>
    <w:p>
      <w:pPr>
        <w:autoSpaceDN w:val="0"/>
        <w:autoSpaceDE w:val="0"/>
        <w:widowControl/>
        <w:spacing w:line="478" w:lineRule="exact" w:before="2" w:after="0"/>
        <w:ind w:left="0" w:right="2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Triad rule.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 B2B governance system is operationally defensible only if it holds under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all three triad stresses simultaneously. A system strong on transformation but weak 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risk governance is fragile under incident. A system strong on risk governance but weak 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trust protection is rejected by users. A system strong on both but weak on transformation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readiness fails at deploy. The triad is the joint defensibility surface.</w:t>
      </w:r>
    </w:p>
    <w:p>
      <w:pPr>
        <w:autoSpaceDN w:val="0"/>
        <w:tabs>
          <w:tab w:pos="1448" w:val="left"/>
          <w:tab w:pos="6564" w:val="left"/>
          <w:tab w:pos="6712" w:val="left"/>
        </w:tabs>
        <w:autoSpaceDE w:val="0"/>
        <w:widowControl/>
        <w:spacing w:line="272" w:lineRule="exact" w:before="312" w:after="0"/>
        <w:ind w:left="898" w:right="1152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2"/>
        </w:rPr>
        <w:t xml:space="preserve">K1. Transformation </w:t>
      </w:r>
      <w:r>
        <w:tab/>
      </w:r>
      <w:r>
        <w:tab/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K2. Risk </w:t>
      </w:r>
      <w:r>
        <w:tab/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Readiness </w:t>
      </w:r>
      <w:r>
        <w:rPr>
          <w:rFonts w:ascii="LMRoman10" w:hAnsi="LMRoman10" w:eastAsia="LMRoman10"/>
          <w:b/>
          <w:i w:val="0"/>
          <w:color w:val="000000"/>
          <w:sz w:val="22"/>
        </w:rPr>
        <w:t>Governance</w:t>
      </w:r>
    </w:p>
    <w:p>
      <w:pPr>
        <w:autoSpaceDN w:val="0"/>
        <w:autoSpaceDE w:val="0"/>
        <w:widowControl/>
        <w:spacing w:line="272" w:lineRule="exact" w:before="208" w:after="0"/>
        <w:ind w:left="3456" w:right="3312" w:firstLine="0"/>
        <w:jc w:val="center"/>
      </w:pPr>
      <w:r>
        <w:rPr>
          <w:rFonts w:ascii="LMRoman10" w:hAnsi="LMRoman10" w:eastAsia="LMRoman10"/>
          <w:b/>
          <w:i w:val="0"/>
          <w:color w:val="000000"/>
          <w:sz w:val="22"/>
        </w:rPr>
        <w:t xml:space="preserve">Governance-Enabled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Clinician Trust </w:t>
      </w:r>
      <w:r>
        <w:br/>
      </w:r>
      <w:r>
        <w:rPr>
          <w:rFonts w:ascii="LMRoman10" w:hAnsi="LMRoman10" w:eastAsia="LMRoman10"/>
          <w:b/>
          <w:i w:val="0"/>
          <w:color w:val="000000"/>
          <w:sz w:val="22"/>
        </w:rPr>
        <w:t>&amp; Adoption</w:t>
      </w:r>
    </w:p>
    <w:p>
      <w:pPr>
        <w:autoSpaceDN w:val="0"/>
        <w:tabs>
          <w:tab w:pos="4022" w:val="left"/>
          <w:tab w:pos="4052" w:val="left"/>
        </w:tabs>
        <w:autoSpaceDE w:val="0"/>
        <w:widowControl/>
        <w:spacing w:line="324" w:lineRule="exact" w:before="650" w:after="0"/>
        <w:ind w:left="0" w:right="144" w:firstLine="0"/>
        <w:jc w:val="left"/>
      </w:pPr>
      <w:r>
        <w:tab/>
      </w:r>
      <w:r>
        <w:tab/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K3. Trust </w:t>
      </w:r>
      <w:r>
        <w:br/>
      </w:r>
      <w:r>
        <w:tab/>
      </w:r>
      <w:r>
        <w:rPr>
          <w:rFonts w:ascii="LMRoman10" w:hAnsi="LMRoman10" w:eastAsia="LMRoman10"/>
          <w:b/>
          <w:i w:val="0"/>
          <w:color w:val="000000"/>
          <w:sz w:val="22"/>
        </w:rPr>
        <w:t xml:space="preserve">Protection </w:t>
      </w:r>
      <w:r>
        <w:br/>
      </w:r>
      <w:r>
        <w:rPr>
          <w:rFonts w:ascii="LMRoman12" w:hAnsi="LMRoman12" w:eastAsia="LMRoman12"/>
          <w:b/>
          <w:i w:val="0"/>
          <w:color w:val="000080"/>
          <w:sz w:val="24"/>
        </w:rPr>
        <w:t>Figure 5.30.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B2B Operational Governance Triad. Each axis (transformation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readiness, risk governance, trust protection) independently strengthens the central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governance-enabled trust-and-adoption contribution. The dashed edges represent triad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interaction: weakness on any axis degrades the other two.</w:t>
      </w:r>
    </w:p>
    <w:p>
      <w:pPr>
        <w:sectPr>
          <w:pgSz w:w="11906" w:h="16838"/>
          <w:pgMar w:top="358" w:right="142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727</w:t>
      </w:r>
    </w:p>
    <w:p>
      <w:pPr>
        <w:autoSpaceDN w:val="0"/>
        <w:autoSpaceDE w:val="0"/>
        <w:widowControl/>
        <w:spacing w:line="240" w:lineRule="exact" w:before="682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K1. Caregiver Trust &amp; Emotional Reassurance (Trust Protection Axis)</w:t>
      </w:r>
    </w:p>
    <w:p>
      <w:pPr>
        <w:autoSpaceDN w:val="0"/>
        <w:tabs>
          <w:tab w:pos="2680" w:val="left"/>
        </w:tabs>
        <w:autoSpaceDE w:val="0"/>
        <w:widowControl/>
        <w:spacing w:line="240" w:lineRule="exact" w:before="392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Framing.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 dissertation’s trust construct is operationalised primarily at the clin-</w:t>
      </w:r>
    </w:p>
    <w:p>
      <w:pPr>
        <w:autoSpaceDN w:val="0"/>
        <w:tabs>
          <w:tab w:pos="3878" w:val="left"/>
        </w:tabs>
        <w:autoSpaceDE w:val="0"/>
        <w:widowControl/>
        <w:spacing w:line="240" w:lineRule="exact" w:before="238" w:after="0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ician (Ch. 4 H2–H3).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 subsection extends trust to the caregiver layer — not as</w:t>
      </w:r>
    </w:p>
    <w:p>
      <w:pPr>
        <w:autoSpaceDN w:val="0"/>
        <w:autoSpaceDE w:val="0"/>
        <w:widowControl/>
        <w:spacing w:line="240" w:lineRule="exact" w:before="238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consumer-app emotional research, but as a B2B governance question: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does the opera-</w:t>
      </w:r>
    </w:p>
    <w:p>
      <w:pPr>
        <w:autoSpaceDN w:val="0"/>
        <w:autoSpaceDE w:val="0"/>
        <w:widowControl/>
        <w:spacing w:line="240" w:lineRule="exact" w:before="238" w:after="0"/>
        <w:ind w:left="0" w:right="0" w:firstLine="0"/>
        <w:jc w:val="center"/>
      </w:pPr>
      <w:r>
        <w:rPr>
          <w:rFonts w:ascii="LMRoman12" w:hAnsi="LMRoman12" w:eastAsia="LMRoman12"/>
          <w:b w:val="0"/>
          <w:i/>
          <w:color w:val="000000"/>
          <w:sz w:val="24"/>
        </w:rPr>
        <w:t>tional governance pipeline produce caregiver-perceptible emotional reassurance, and does</w:t>
      </w:r>
    </w:p>
    <w:p>
      <w:pPr>
        <w:autoSpaceDN w:val="0"/>
        <w:autoSpaceDE w:val="0"/>
        <w:widowControl/>
        <w:spacing w:line="240" w:lineRule="exact" w:before="238" w:after="0"/>
        <w:ind w:left="0" w:right="0" w:firstLine="0"/>
        <w:jc w:val="center"/>
      </w:pPr>
      <w:r>
        <w:rPr>
          <w:rFonts w:ascii="LMRoman12" w:hAnsi="LMRoman12" w:eastAsia="LMRoman12"/>
          <w:b w:val="0"/>
          <w:i/>
          <w:color w:val="000000"/>
          <w:sz w:val="24"/>
        </w:rPr>
        <w:t>that reassurance survive the screening lifecycle?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answer determines whether the B2B</w:t>
      </w:r>
    </w:p>
    <w:p>
      <w:pPr>
        <w:autoSpaceDN w:val="0"/>
        <w:autoSpaceDE w:val="0"/>
        <w:widowControl/>
        <w:spacing w:line="240" w:lineRule="exact" w:before="238" w:after="0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governance investment translates to B2C-perceptible trust.</w:t>
      </w:r>
    </w:p>
    <w:p>
      <w:pPr>
        <w:autoSpaceDN w:val="0"/>
        <w:autoSpaceDE w:val="0"/>
        <w:widowControl/>
        <w:spacing w:line="238" w:lineRule="exact" w:before="240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24"/>
        </w:rPr>
        <w:t>Positioning rule.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Governance-enabled emotional reassurance mechanisms strengthen</w:t>
      </w:r>
    </w:p>
    <w:p>
      <w:pPr>
        <w:autoSpaceDN w:val="0"/>
        <w:autoSpaceDE w:val="0"/>
        <w:widowControl/>
        <w:spacing w:line="238" w:lineRule="exact" w:before="240" w:after="0"/>
        <w:ind w:left="0" w:right="0" w:firstLine="0"/>
        <w:jc w:val="center"/>
      </w:pPr>
      <w:r>
        <w:rPr>
          <w:rFonts w:ascii="LMRoman12" w:hAnsi="LMRoman12" w:eastAsia="LMRoman12"/>
          <w:b w:val="0"/>
          <w:i/>
          <w:color w:val="000000"/>
          <w:sz w:val="24"/>
        </w:rPr>
        <w:t>sustainable autism-focused healthcare AI adoption by improving caregiver trust, explain-</w:t>
      </w:r>
    </w:p>
    <w:p>
      <w:pPr>
        <w:autoSpaceDN w:val="0"/>
        <w:autoSpaceDE w:val="0"/>
        <w:widowControl/>
        <w:spacing w:line="238" w:lineRule="exact" w:before="240" w:after="0"/>
        <w:ind w:left="1440" w:right="0" w:firstLine="0"/>
        <w:jc w:val="left"/>
      </w:pPr>
      <w:r>
        <w:rPr>
          <w:rFonts w:ascii="LMRoman12" w:hAnsi="LMRoman12" w:eastAsia="LMRoman12"/>
          <w:b w:val="0"/>
          <w:i/>
          <w:color w:val="000000"/>
          <w:sz w:val="24"/>
        </w:rPr>
        <w:t>ability confidence, and human-centered operational assurance.</w:t>
      </w:r>
    </w:p>
    <w:p>
      <w:pPr>
        <w:autoSpaceDN w:val="0"/>
        <w:autoSpaceDE w:val="0"/>
        <w:widowControl/>
        <w:spacing w:line="240" w:lineRule="exact" w:before="288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5.193.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Caregiver Trust &amp; Emotional Reassurance: eight operationalised</w:t>
      </w:r>
    </w:p>
    <w:p>
      <w:pPr>
        <w:autoSpaceDN w:val="0"/>
        <w:autoSpaceDE w:val="0"/>
        <w:widowControl/>
        <w:spacing w:line="238" w:lineRule="exact" w:before="50" w:after="194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dimensions with construct definitions and observable indicators.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310"/>
        </w:trPr>
        <w:tc>
          <w:tcPr>
            <w:tcW w:type="dxa" w:w="1420"/>
            <w:tcBorders>
              <w:top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Dimension</w:t>
            </w:r>
          </w:p>
        </w:tc>
        <w:tc>
          <w:tcPr>
            <w:tcW w:type="dxa" w:w="3980"/>
            <w:tcBorders>
              <w:top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40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Construct meaning</w:t>
            </w:r>
          </w:p>
        </w:tc>
        <w:tc>
          <w:tcPr>
            <w:tcW w:type="dxa" w:w="3626"/>
            <w:tcBorders>
              <w:top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0" w:right="822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Observable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36.0" w:type="dxa"/>
      </w:tblPr>
      <w:tblGrid>
        <w:gridCol w:w="3009"/>
        <w:gridCol w:w="3009"/>
        <w:gridCol w:w="3009"/>
      </w:tblGrid>
      <w:tr>
        <w:trPr>
          <w:trHeight w:hRule="exact" w:val="296"/>
        </w:trPr>
        <w:tc>
          <w:tcPr>
            <w:tcW w:type="dxa" w:w="1464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54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3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98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indicator</w:t>
            </w:r>
          </w:p>
        </w:tc>
      </w:tr>
      <w:tr>
        <w:trPr>
          <w:trHeight w:hRule="exact" w:val="278"/>
        </w:trPr>
        <w:tc>
          <w:tcPr>
            <w:tcW w:type="dxa" w:w="1464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Caregiver</w:t>
            </w:r>
          </w:p>
        </w:tc>
        <w:tc>
          <w:tcPr>
            <w:tcW w:type="dxa" w:w="554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3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 caregivers trust AI-assisted recommendations conveyed</w:t>
            </w:r>
          </w:p>
        </w:tc>
        <w:tc>
          <w:tcPr>
            <w:tcW w:type="dxa" w:w="203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Recommendation</w:t>
            </w:r>
          </w:p>
        </w:tc>
      </w:tr>
      <w:tr>
        <w:trPr>
          <w:trHeight w:hRule="exact" w:val="260"/>
        </w:trPr>
        <w:tc>
          <w:tcPr>
            <w:tcW w:type="dxa" w:w="1464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Confidence</w:t>
            </w:r>
          </w:p>
        </w:tc>
        <w:tc>
          <w:tcPr>
            <w:tcW w:type="dxa" w:w="55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0" w:after="0"/>
              <w:ind w:left="3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by the clinician?</w:t>
            </w:r>
          </w:p>
        </w:tc>
        <w:tc>
          <w:tcPr>
            <w:tcW w:type="dxa" w:w="203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0" w:after="0"/>
              <w:ind w:left="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confidence rating;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60.0" w:type="dxa"/>
      </w:tblPr>
      <w:tblGrid>
        <w:gridCol w:w="9026"/>
      </w:tblGrid>
      <w:tr>
        <w:trPr>
          <w:trHeight w:hRule="exact" w:val="238"/>
        </w:trPr>
        <w:tc>
          <w:tcPr>
            <w:tcW w:type="dxa" w:w="67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0" w:right="87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clinician-mediated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4513"/>
        <w:gridCol w:w="4513"/>
      </w:tblGrid>
      <w:tr>
        <w:trPr>
          <w:trHeight w:hRule="exact" w:val="718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4" w:after="0"/>
              <w:ind w:left="720" w:right="144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 xml:space="preserve">Emotional 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Reassurance</w:t>
            </w:r>
          </w:p>
        </w:tc>
        <w:tc>
          <w:tcPr>
            <w:tcW w:type="dxa" w:w="8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578" w:val="left"/>
              </w:tabs>
              <w:autoSpaceDE w:val="0"/>
              <w:widowControl/>
              <w:spacing w:line="232" w:lineRule="exact" w:before="0" w:after="0"/>
              <w:ind w:left="300" w:right="720" w:firstLine="0"/>
              <w:jc w:val="left"/>
            </w:pPr>
            <w:r>
              <w:tab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trust score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Does the system reduce caregiver anxiety and uncertainty? Caregiver-reported </w:t>
            </w:r>
            <w:r>
              <w:tab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anxiety differential;</w:t>
            </w:r>
          </w:p>
        </w:tc>
      </w:tr>
    </w:tbl>
    <w:p>
      <w:pPr>
        <w:autoSpaceDN w:val="0"/>
        <w:autoSpaceDE w:val="0"/>
        <w:widowControl/>
        <w:spacing w:line="200" w:lineRule="exact" w:before="18" w:after="0"/>
        <w:ind w:left="0" w:right="236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reassurance</w:t>
      </w:r>
    </w:p>
    <w:p>
      <w:pPr>
        <w:autoSpaceDN w:val="0"/>
        <w:autoSpaceDE w:val="0"/>
        <w:widowControl/>
        <w:spacing w:line="198" w:lineRule="exact" w:before="40" w:after="32"/>
        <w:ind w:left="0" w:right="245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perception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196"/>
        </w:trPr>
        <w:tc>
          <w:tcPr>
            <w:tcW w:type="dxa" w:w="16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Explainability</w:t>
            </w:r>
          </w:p>
        </w:tc>
        <w:tc>
          <w:tcPr>
            <w:tcW w:type="dxa" w:w="51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 caregivers understand</w:t>
            </w:r>
            <w:r>
              <w:rPr>
                <w:rFonts w:ascii="LMRoman10" w:hAnsi="LMRoman10" w:eastAsia="LMRoman10"/>
                <w:b w:val="0"/>
                <w:i/>
                <w:color w:val="000000"/>
                <w:sz w:val="20"/>
              </w:rPr>
              <w:t xml:space="preserve"> why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 a recommendation was</w:t>
            </w:r>
          </w:p>
        </w:tc>
        <w:tc>
          <w:tcPr>
            <w:tcW w:type="dxa" w:w="230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3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Clarity rating of</w:t>
            </w:r>
          </w:p>
        </w:tc>
      </w:tr>
      <w:tr>
        <w:trPr>
          <w:trHeight w:hRule="exact" w:val="274"/>
        </w:trPr>
        <w:tc>
          <w:tcPr>
            <w:tcW w:type="dxa" w:w="16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6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Trust</w:t>
            </w:r>
          </w:p>
        </w:tc>
        <w:tc>
          <w:tcPr>
            <w:tcW w:type="dxa" w:w="51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2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generated?</w:t>
            </w:r>
          </w:p>
        </w:tc>
        <w:tc>
          <w:tcPr>
            <w:tcW w:type="dxa" w:w="230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3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family-language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60.0" w:type="dxa"/>
      </w:tblPr>
      <w:tblGrid>
        <w:gridCol w:w="9026"/>
      </w:tblGrid>
      <w:tr>
        <w:trPr>
          <w:trHeight w:hRule="exact" w:val="236"/>
        </w:trPr>
        <w:tc>
          <w:tcPr>
            <w:tcW w:type="dxa" w:w="64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8" w:after="0"/>
              <w:ind w:left="0" w:right="113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explanation;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3009"/>
        <w:gridCol w:w="3009"/>
        <w:gridCol w:w="3009"/>
      </w:tblGrid>
      <w:tr>
        <w:trPr>
          <w:trHeight w:hRule="exact" w:val="230"/>
        </w:trPr>
        <w:tc>
          <w:tcPr>
            <w:tcW w:type="dxa" w:w="2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50" w:after="0"/>
              <w:ind w:left="0" w:right="40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Recommendation</w:t>
            </w:r>
          </w:p>
        </w:tc>
        <w:tc>
          <w:tcPr>
            <w:tcW w:type="dxa" w:w="4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52" w:after="0"/>
              <w:ind w:left="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 caregivers trust the operational reliability of the</w:t>
            </w:r>
          </w:p>
        </w:tc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3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comprehension check</w:t>
            </w:r>
          </w:p>
        </w:tc>
      </w:tr>
      <w:tr>
        <w:trPr>
          <w:trHeight w:hRule="exact" w:val="220"/>
        </w:trPr>
        <w:tc>
          <w:tcPr>
            <w:tcW w:type="dxa" w:w="3009"/>
            <w:vMerge/>
            <w:tcBorders/>
          </w:tcPr>
          <w:p/>
        </w:tc>
        <w:tc>
          <w:tcPr>
            <w:tcW w:type="dxa" w:w="3009"/>
            <w:vMerge/>
            <w:tcBorders/>
          </w:tcPr>
          <w:p/>
        </w:tc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3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Trust-in-output;</w:t>
            </w:r>
          </w:p>
        </w:tc>
      </w:tr>
      <w:tr>
        <w:trPr>
          <w:trHeight w:hRule="exact" w:val="270"/>
        </w:trPr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Confidence</w:t>
            </w:r>
          </w:p>
        </w:tc>
        <w:tc>
          <w:tcPr>
            <w:tcW w:type="dxa" w:w="4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8" w:after="0"/>
              <w:ind w:left="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recommendation?</w:t>
            </w:r>
          </w:p>
        </w:tc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8" w:after="0"/>
              <w:ind w:left="3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follow-through</w:t>
            </w:r>
          </w:p>
        </w:tc>
      </w:tr>
    </w:tbl>
    <w:p>
      <w:pPr>
        <w:autoSpaceDN w:val="0"/>
        <w:autoSpaceDE w:val="0"/>
        <w:widowControl/>
        <w:spacing w:line="198" w:lineRule="exact" w:before="18" w:after="32"/>
        <w:ind w:left="0" w:right="259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intention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22"/>
        </w:trPr>
        <w:tc>
          <w:tcPr>
            <w:tcW w:type="dxa" w:w="14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Emotional</w:t>
            </w:r>
          </w:p>
        </w:tc>
        <w:tc>
          <w:tcPr>
            <w:tcW w:type="dxa" w:w="53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 caregivers feel emotionally safe using the system?</w:t>
            </w:r>
          </w:p>
        </w:tc>
        <w:tc>
          <w:tcPr>
            <w:tcW w:type="dxa" w:w="2286"/>
            <w:vMerge w:val="restart"/>
            <w:tcBorders/>
            <w:shd w:fill="fcf0f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2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Felt-safety rating;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absence of fear signal</w:t>
            </w:r>
          </w:p>
        </w:tc>
      </w:tr>
      <w:tr>
        <w:trPr>
          <w:trHeight w:hRule="exact" w:val="256"/>
        </w:trPr>
        <w:tc>
          <w:tcPr>
            <w:tcW w:type="dxa" w:w="6860"/>
            <w:gridSpan w:val="2"/>
            <w:tcBorders/>
            <w:shd w:fill="fcf0f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Safety</w:t>
            </w:r>
          </w:p>
        </w:tc>
        <w:tc>
          <w:tcPr>
            <w:tcW w:type="dxa" w:w="3009"/>
            <w:vMerge/>
            <w:tcBorders/>
          </w:tcPr>
          <w:p/>
        </w:tc>
      </w:tr>
      <w:tr>
        <w:trPr>
          <w:trHeight w:hRule="exact" w:val="224"/>
        </w:trPr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Human-</w:t>
            </w:r>
          </w:p>
        </w:tc>
        <w:tc>
          <w:tcPr>
            <w:tcW w:type="dxa" w:w="5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4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Is the system emotionally comfortable to use?</w:t>
            </w:r>
          </w:p>
        </w:tc>
        <w:tc>
          <w:tcPr>
            <w:tcW w:type="dxa" w:w="22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0" w:after="0"/>
              <w:ind w:left="298" w:right="204" w:firstLine="0"/>
              <w:jc w:val="both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Usability frictionless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rating; UI emotional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friction signal</w:t>
            </w:r>
          </w:p>
        </w:tc>
      </w:tr>
      <w:tr>
        <w:trPr>
          <w:trHeight w:hRule="exact" w:val="494"/>
        </w:trPr>
        <w:tc>
          <w:tcPr>
            <w:tcW w:type="dxa" w:w="6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60" w:right="576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 xml:space="preserve">Centered 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Usability</w:t>
            </w:r>
          </w:p>
        </w:tc>
        <w:tc>
          <w:tcPr>
            <w:tcW w:type="dxa" w:w="3009"/>
            <w:vMerge/>
            <w:tcBorders/>
          </w:tcPr>
          <w:p/>
        </w:tc>
      </w:tr>
      <w:tr>
        <w:trPr>
          <w:trHeight w:hRule="exact" w:val="230"/>
        </w:trPr>
        <w:tc>
          <w:tcPr>
            <w:tcW w:type="dxa" w:w="6860"/>
            <w:gridSpan w:val="2"/>
            <w:tcBorders/>
            <w:shd w:fill="fcf0f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Trust Continuity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 Can caregiver trust remain stable across the lifecycle?</w:t>
            </w:r>
          </w:p>
        </w:tc>
        <w:tc>
          <w:tcPr>
            <w:tcW w:type="dxa" w:w="228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Longitudinal trust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60.0" w:type="dxa"/>
      </w:tblPr>
      <w:tblGrid>
        <w:gridCol w:w="9026"/>
      </w:tblGrid>
      <w:tr>
        <w:trPr>
          <w:trHeight w:hRule="exact" w:val="238"/>
        </w:trPr>
        <w:tc>
          <w:tcPr>
            <w:tcW w:type="dxa" w:w="67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0" w:right="84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score across phases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3009"/>
        <w:gridCol w:w="3009"/>
        <w:gridCol w:w="3009"/>
      </w:tblGrid>
      <w:tr>
        <w:trPr>
          <w:trHeight w:hRule="exact" w:val="240"/>
        </w:trPr>
        <w:tc>
          <w:tcPr>
            <w:tcW w:type="dxa" w:w="2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0" w:after="0"/>
              <w:ind w:left="0" w:right="336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Sustainable</w:t>
            </w:r>
          </w:p>
        </w:tc>
        <w:tc>
          <w:tcPr>
            <w:tcW w:type="dxa" w:w="4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0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Can caregivers continue engaging long-term?</w:t>
            </w:r>
          </w:p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6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(J6 lifecycle)</w:t>
            </w:r>
          </w:p>
        </w:tc>
      </w:tr>
      <w:tr>
        <w:trPr>
          <w:trHeight w:hRule="exact" w:val="220"/>
        </w:trPr>
        <w:tc>
          <w:tcPr>
            <w:tcW w:type="dxa" w:w="3009"/>
            <w:vMerge/>
            <w:tcBorders/>
          </w:tcPr>
          <w:p/>
        </w:tc>
        <w:tc>
          <w:tcPr>
            <w:tcW w:type="dxa" w:w="3009"/>
            <w:vMerge/>
            <w:tcBorders/>
          </w:tcPr>
          <w:p/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Active-caregiver rate;</w:t>
            </w:r>
          </w:p>
        </w:tc>
      </w:tr>
      <w:tr>
        <w:trPr>
          <w:trHeight w:hRule="exact" w:val="262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0" w:right="512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Caregiver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consent-retention rate</w:t>
            </w:r>
          </w:p>
        </w:tc>
      </w:tr>
    </w:tbl>
    <w:p>
      <w:pPr>
        <w:autoSpaceDN w:val="0"/>
        <w:autoSpaceDE w:val="0"/>
        <w:widowControl/>
        <w:spacing w:line="198" w:lineRule="exact" w:before="20" w:after="0"/>
        <w:ind w:left="1440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Adoption</w:t>
      </w:r>
    </w:p>
    <w:p>
      <w:pPr>
        <w:autoSpaceDN w:val="0"/>
        <w:autoSpaceDE w:val="0"/>
        <w:widowControl/>
        <w:spacing w:line="202" w:lineRule="exact" w:before="92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Indicators are deliberately governance-observable, not psychological inventories. Each dimension</w:t>
      </w:r>
    </w:p>
    <w:p>
      <w:pPr>
        <w:autoSpaceDN w:val="0"/>
        <w:autoSpaceDE w:val="0"/>
        <w:widowControl/>
        <w:spacing w:line="200" w:lineRule="exact" w:before="116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is measurable by a system the provider organisation already operates (audit log, dashboard, follow-up</w:t>
      </w:r>
    </w:p>
    <w:p>
      <w:pPr>
        <w:autoSpaceDN w:val="0"/>
        <w:autoSpaceDE w:val="0"/>
        <w:widowControl/>
        <w:spacing w:line="198" w:lineRule="exact" w:before="40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survey) — the dissertation does not propose new emotional-psychology instruments.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728</w:t>
      </w:r>
    </w:p>
    <w:p>
      <w:pPr>
        <w:autoSpaceDN w:val="0"/>
        <w:autoSpaceDE w:val="0"/>
        <w:widowControl/>
        <w:spacing w:line="288" w:lineRule="exact" w:before="620" w:after="194"/>
        <w:ind w:left="1440" w:right="144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5.194.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Caregiver Trust Survey Item Examples. Items are anchored to the eight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dimensions and use plain language at</w:t>
      </w:r>
      <w:r>
        <w:rPr>
          <w:rFonts w:ascii="LMMathSymbols10" w:hAnsi="LMMathSymbols10" w:eastAsia="LMMathSymbols10"/>
          <w:b w:val="0"/>
          <w:i/>
          <w:color w:val="000000"/>
          <w:sz w:val="24"/>
        </w:rPr>
        <w:t xml:space="preserve"> ≤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Grade 8 reading level (per the accessibility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specification in J3).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4513"/>
        <w:gridCol w:w="4513"/>
      </w:tblGrid>
      <w:tr>
        <w:trPr>
          <w:trHeight w:hRule="exact" w:val="364"/>
        </w:trPr>
        <w:tc>
          <w:tcPr>
            <w:tcW w:type="dxa" w:w="2000"/>
            <w:tcBorders>
              <w:top w:sz="9.599999999999909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Dimension</w:t>
            </w:r>
          </w:p>
        </w:tc>
        <w:tc>
          <w:tcPr>
            <w:tcW w:type="dxa" w:w="7026"/>
            <w:tcBorders>
              <w:top w:sz="9.599999999999909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1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Sample item (5-point Likert, strongly disagree — strongly agree)</w:t>
            </w:r>
          </w:p>
        </w:tc>
      </w:tr>
      <w:tr>
        <w:trPr>
          <w:trHeight w:hRule="exact" w:val="310"/>
        </w:trPr>
        <w:tc>
          <w:tcPr>
            <w:tcW w:type="dxa" w:w="200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Caregiver Confidence</w:t>
            </w:r>
          </w:p>
        </w:tc>
        <w:tc>
          <w:tcPr>
            <w:tcW w:type="dxa" w:w="7026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1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“I trust the AI-assisted recommendations my clinician shared with me.”</w:t>
            </w:r>
          </w:p>
        </w:tc>
      </w:tr>
    </w:tbl>
    <w:p>
      <w:pPr>
        <w:autoSpaceDN w:val="0"/>
        <w:autoSpaceDE w:val="0"/>
        <w:widowControl/>
        <w:spacing w:line="200" w:lineRule="exact" w:before="0" w:after="32"/>
        <w:ind w:left="144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Emotional Reassurance “The system reduced my uncertainty about my child’s screening.”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4513"/>
        <w:gridCol w:w="4513"/>
      </w:tblGrid>
      <w:tr>
        <w:trPr>
          <w:trHeight w:hRule="exact" w:val="238"/>
        </w:trPr>
        <w:tc>
          <w:tcPr>
            <w:tcW w:type="dxa" w:w="20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Explainability Trust</w:t>
            </w:r>
          </w:p>
        </w:tc>
        <w:tc>
          <w:tcPr>
            <w:tcW w:type="dxa" w:w="712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“I understood why the AI flagged what it flagged.”</w:t>
            </w:r>
          </w:p>
        </w:tc>
      </w:tr>
      <w:tr>
        <w:trPr>
          <w:trHeight w:hRule="exact" w:val="228"/>
        </w:trPr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Recommendation</w:t>
            </w:r>
          </w:p>
        </w:tc>
        <w:tc>
          <w:tcPr>
            <w:tcW w:type="dxa" w:w="7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“I would follow the recommendation in the report.”</w:t>
            </w:r>
          </w:p>
        </w:tc>
      </w:tr>
    </w:tbl>
    <w:p>
      <w:pPr>
        <w:autoSpaceDN w:val="0"/>
        <w:autoSpaceDE w:val="0"/>
        <w:widowControl/>
        <w:spacing w:line="200" w:lineRule="exact" w:before="20" w:after="30"/>
        <w:ind w:left="144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Confidence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4513"/>
        <w:gridCol w:w="4513"/>
      </w:tblGrid>
      <w:tr>
        <w:trPr>
          <w:trHeight w:hRule="exact" w:val="240"/>
        </w:trPr>
        <w:tc>
          <w:tcPr>
            <w:tcW w:type="dxa" w:w="18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Emotional Safety</w:t>
            </w:r>
          </w:p>
        </w:tc>
        <w:tc>
          <w:tcPr>
            <w:tcW w:type="dxa" w:w="726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“I felt my child was safe in this process.”</w:t>
            </w:r>
          </w:p>
        </w:tc>
      </w:tr>
      <w:tr>
        <w:trPr>
          <w:trHeight w:hRule="exact" w:val="228"/>
        </w:trPr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Human-Centered</w:t>
            </w:r>
          </w:p>
        </w:tc>
        <w:tc>
          <w:tcPr>
            <w:tcW w:type="dxa" w:w="7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3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“The materials were easy to read and use.”</w:t>
            </w:r>
          </w:p>
        </w:tc>
      </w:tr>
    </w:tbl>
    <w:p>
      <w:pPr>
        <w:autoSpaceDN w:val="0"/>
        <w:autoSpaceDE w:val="0"/>
        <w:widowControl/>
        <w:spacing w:line="198" w:lineRule="exact" w:before="20" w:after="32"/>
        <w:ind w:left="144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Usability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4513"/>
        <w:gridCol w:w="4513"/>
      </w:tblGrid>
      <w:tr>
        <w:trPr>
          <w:trHeight w:hRule="exact" w:val="240"/>
        </w:trPr>
        <w:tc>
          <w:tcPr>
            <w:tcW w:type="dxa" w:w="20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Trust Continuity</w:t>
            </w:r>
          </w:p>
        </w:tc>
        <w:tc>
          <w:tcPr>
            <w:tcW w:type="dxa" w:w="702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“I would use this system again if my child needed re-screening.”</w:t>
            </w:r>
          </w:p>
        </w:tc>
      </w:tr>
      <w:tr>
        <w:trPr>
          <w:trHeight w:hRule="exact" w:val="292"/>
        </w:trPr>
        <w:tc>
          <w:tcPr>
            <w:tcW w:type="dxa" w:w="2000"/>
            <w:tcBorders>
              <w:bottom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Sustainable Adoption</w:t>
            </w:r>
          </w:p>
        </w:tc>
        <w:tc>
          <w:tcPr>
            <w:tcW w:type="dxa" w:w="7026"/>
            <w:tcBorders>
              <w:bottom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“I would recommend this to another caregiver in my position.”</w:t>
            </w:r>
          </w:p>
        </w:tc>
      </w:tr>
    </w:tbl>
    <w:p>
      <w:pPr>
        <w:autoSpaceDN w:val="0"/>
        <w:autoSpaceDE w:val="0"/>
        <w:widowControl/>
        <w:spacing w:line="202" w:lineRule="exact" w:before="22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Items are pre-pilot examples; psychometric validation (Cronbach</w:t>
      </w:r>
      <w:r>
        <w:rPr>
          <w:rFonts w:ascii="LMMathItalic10" w:hAnsi="LMMathItalic10" w:eastAsia="LMMathItalic10"/>
          <w:b w:val="0"/>
          <w:i/>
          <w:color w:val="000000"/>
          <w:sz w:val="20"/>
        </w:rPr>
        <w:t xml:space="preserve"> 𝛼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, CFA factor structure) is</w:t>
      </w:r>
    </w:p>
    <w:p>
      <w:pPr>
        <w:autoSpaceDN w:val="0"/>
        <w:autoSpaceDE w:val="0"/>
        <w:widowControl/>
        <w:spacing w:line="200" w:lineRule="exact" w:before="116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required before deployment in the next study wave.</w:t>
      </w:r>
    </w:p>
    <w:p>
      <w:pPr>
        <w:autoSpaceDN w:val="0"/>
        <w:autoSpaceDE w:val="0"/>
        <w:widowControl/>
        <w:spacing w:line="288" w:lineRule="exact" w:before="404" w:after="196"/>
        <w:ind w:left="1440" w:right="144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5.195.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Caregiver Trust Heatmap. State of each trust dimension under weak vs.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strong governance. The shift is the governance-trust hypothesis operationalised at 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caregiver level.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366"/>
        </w:trPr>
        <w:tc>
          <w:tcPr>
            <w:tcW w:type="dxa" w:w="2060"/>
            <w:tcBorders>
              <w:top w:sz="8.799999999999727" w:val="single" w:color="#00007F"/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2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Trust area</w:t>
            </w:r>
          </w:p>
        </w:tc>
        <w:tc>
          <w:tcPr>
            <w:tcW w:type="dxa" w:w="3260"/>
            <w:tcBorders>
              <w:top w:sz="8.799999999999727" w:val="single" w:color="#00007F"/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2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Weak governance</w:t>
            </w:r>
          </w:p>
        </w:tc>
        <w:tc>
          <w:tcPr>
            <w:tcW w:type="dxa" w:w="3706"/>
            <w:tcBorders>
              <w:top w:sz="8.799999999999727" w:val="single" w:color="#00007F"/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2" w:after="0"/>
              <w:ind w:left="332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Strong governance</w:t>
            </w:r>
          </w:p>
        </w:tc>
      </w:tr>
      <w:tr>
        <w:trPr>
          <w:trHeight w:hRule="exact" w:val="292"/>
        </w:trPr>
        <w:tc>
          <w:tcPr>
            <w:tcW w:type="dxa" w:w="2060"/>
            <w:vMerge w:val="restart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Emotional reassurance</w:t>
            </w:r>
          </w:p>
        </w:tc>
        <w:tc>
          <w:tcPr>
            <w:tcW w:type="dxa" w:w="3260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Fragmented; clinician-dependent</w:t>
            </w:r>
          </w:p>
        </w:tc>
        <w:tc>
          <w:tcPr>
            <w:tcW w:type="dxa" w:w="3706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3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Operational; governance-backed</w:t>
            </w:r>
          </w:p>
        </w:tc>
      </w:tr>
      <w:tr>
        <w:trPr>
          <w:trHeight w:hRule="exact" w:val="258"/>
        </w:trPr>
        <w:tc>
          <w:tcPr>
            <w:tcW w:type="dxa" w:w="3009"/>
            <w:vMerge/>
            <w:tcBorders>
              <w:top w:sz="3.984800100326538" w:val="single" w:color="#00007F"/>
            </w:tcBorders>
          </w:tcPr>
          <w:p/>
        </w:tc>
        <w:tc>
          <w:tcPr>
            <w:tcW w:type="dxa" w:w="3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narrative</w:t>
            </w:r>
          </w:p>
        </w:tc>
        <w:tc>
          <w:tcPr>
            <w:tcW w:type="dxa" w:w="37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3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family-language explanation</w:t>
            </w:r>
          </w:p>
        </w:tc>
      </w:tr>
      <w:tr>
        <w:trPr>
          <w:trHeight w:hRule="exact" w:val="222"/>
        </w:trPr>
        <w:tc>
          <w:tcPr>
            <w:tcW w:type="dxa" w:w="20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Explainability</w:t>
            </w:r>
          </w:p>
        </w:tc>
        <w:tc>
          <w:tcPr>
            <w:tcW w:type="dxa" w:w="3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Weak; raw probability shown to</w:t>
            </w:r>
          </w:p>
        </w:tc>
        <w:tc>
          <w:tcPr>
            <w:tcW w:type="dxa" w:w="37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3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Understandable; top-3 family-</w:t>
            </w:r>
          </w:p>
        </w:tc>
      </w:tr>
      <w:tr>
        <w:trPr>
          <w:trHeight w:hRule="exact" w:val="256"/>
        </w:trPr>
        <w:tc>
          <w:tcPr>
            <w:tcW w:type="dxa" w:w="20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confidence</w:t>
            </w:r>
          </w:p>
        </w:tc>
        <w:tc>
          <w:tcPr>
            <w:tcW w:type="dxa" w:w="3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caregivers</w:t>
            </w:r>
          </w:p>
        </w:tc>
        <w:tc>
          <w:tcPr>
            <w:tcW w:type="dxa" w:w="37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" w:after="0"/>
              <w:ind w:left="3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language factors</w:t>
            </w:r>
          </w:p>
        </w:tc>
      </w:tr>
      <w:tr>
        <w:trPr>
          <w:trHeight w:hRule="exact" w:val="238"/>
        </w:trPr>
        <w:tc>
          <w:tcPr>
            <w:tcW w:type="dxa" w:w="20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Caregiver trust</w:t>
            </w:r>
          </w:p>
        </w:tc>
        <w:tc>
          <w:tcPr>
            <w:tcW w:type="dxa" w:w="3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Unstable; resets each visit</w:t>
            </w:r>
          </w:p>
        </w:tc>
        <w:tc>
          <w:tcPr>
            <w:tcW w:type="dxa" w:w="37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3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Sustainable; longitudinal touchpoints</w:t>
            </w:r>
          </w:p>
        </w:tc>
      </w:tr>
      <w:tr>
        <w:trPr>
          <w:trHeight w:hRule="exact" w:val="228"/>
        </w:trPr>
        <w:tc>
          <w:tcPr>
            <w:tcW w:type="dxa" w:w="20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Recommendation</w:t>
            </w:r>
          </w:p>
        </w:tc>
        <w:tc>
          <w:tcPr>
            <w:tcW w:type="dxa" w:w="3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Inconsistent; varies by clinician</w:t>
            </w:r>
          </w:p>
        </w:tc>
        <w:tc>
          <w:tcPr>
            <w:tcW w:type="dxa" w:w="37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3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Trusted; governance-version-stamped</w:t>
            </w:r>
          </w:p>
        </w:tc>
      </w:tr>
    </w:tbl>
    <w:p>
      <w:pPr>
        <w:autoSpaceDN w:val="0"/>
        <w:autoSpaceDE w:val="0"/>
        <w:widowControl/>
        <w:spacing w:line="198" w:lineRule="exact" w:before="10" w:after="32"/>
        <w:ind w:left="144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confidence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28"/>
        </w:trPr>
        <w:tc>
          <w:tcPr>
            <w:tcW w:type="dxa" w:w="2020"/>
            <w:vMerge w:val="restart"/>
            <w:tcBorders/>
            <w:shd w:fill="fcf0f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Emotional safety</w:t>
            </w:r>
          </w:p>
        </w:tc>
        <w:tc>
          <w:tcPr>
            <w:tcW w:type="dxa" w:w="32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Anxiety-prone; uncertainty</w:t>
            </w:r>
          </w:p>
        </w:tc>
        <w:tc>
          <w:tcPr>
            <w:tcW w:type="dxa" w:w="388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4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Comfort-prone; navigator +</w:t>
            </w:r>
          </w:p>
        </w:tc>
      </w:tr>
      <w:tr>
        <w:trPr>
          <w:trHeight w:hRule="exact" w:val="250"/>
        </w:trPr>
        <w:tc>
          <w:tcPr>
            <w:tcW w:type="dxa" w:w="3009"/>
            <w:vMerge/>
            <w:tcBorders/>
          </w:tcPr>
          <w:p/>
        </w:tc>
        <w:tc>
          <w:tcPr>
            <w:tcW w:type="dxa" w:w="32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unaddressed</w:t>
            </w:r>
          </w:p>
        </w:tc>
        <w:tc>
          <w:tcPr>
            <w:tcW w:type="dxa" w:w="388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4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dashboard</w:t>
            </w:r>
          </w:p>
        </w:tc>
      </w:tr>
      <w:tr>
        <w:trPr>
          <w:trHeight w:hRule="exact" w:val="254"/>
        </w:trPr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Workflow continuity</w:t>
            </w:r>
          </w:p>
        </w:tc>
        <w:tc>
          <w:tcPr>
            <w:tcW w:type="dxa" w:w="3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Tense; high abandonment risk</w:t>
            </w:r>
          </w:p>
        </w:tc>
        <w:tc>
          <w:tcPr>
            <w:tcW w:type="dxa" w:w="38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4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Calm; family-facing surfaces working</w:t>
            </w:r>
          </w:p>
        </w:tc>
      </w:tr>
    </w:tbl>
    <w:p>
      <w:pPr>
        <w:autoSpaceDN w:val="0"/>
        <w:autoSpaceDE w:val="0"/>
        <w:widowControl/>
        <w:spacing w:line="204" w:lineRule="exact" w:before="48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The heatmap functions as a defensibility checklist for the family-facing surface. If any cell</w:t>
      </w:r>
    </w:p>
    <w:p>
      <w:pPr>
        <w:autoSpaceDN w:val="0"/>
        <w:autoSpaceDE w:val="0"/>
        <w:widowControl/>
        <w:spacing w:line="240" w:lineRule="exact" w:before="74" w:after="0"/>
        <w:ind w:left="1584" w:right="1584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remains in the “weak” column post-deploy, the governance has not yet propagated to the caregiver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layer.</w:t>
      </w:r>
    </w:p>
    <w:p>
      <w:pPr>
        <w:autoSpaceDN w:val="0"/>
        <w:autoSpaceDE w:val="0"/>
        <w:widowControl/>
        <w:spacing w:line="240" w:lineRule="exact" w:before="402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24"/>
        </w:rPr>
        <w:t>Limitation.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eight dimensions are normative; only Caregiver Confidence and Recom-</w:t>
      </w:r>
    </w:p>
    <w:p>
      <w:pPr>
        <w:autoSpaceDN w:val="0"/>
        <w:autoSpaceDE w:val="0"/>
        <w:widowControl/>
        <w:spacing w:line="240" w:lineRule="exact" w:before="238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mendation Confidence have direct precedent in this dissertation’s empirical pilot 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𝑛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= 131</w:t>
      </w:r>
    </w:p>
    <w:p>
      <w:pPr>
        <w:autoSpaceDN w:val="0"/>
        <w:autoSpaceDE w:val="0"/>
        <w:widowControl/>
        <w:spacing w:line="238" w:lineRule="exact" w:before="240" w:after="0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clinicians). Caregiver-side measurement is future work.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729</w:t>
      </w:r>
    </w:p>
    <w:p>
      <w:pPr>
        <w:autoSpaceDN w:val="0"/>
        <w:autoSpaceDE w:val="0"/>
        <w:widowControl/>
        <w:spacing w:line="240" w:lineRule="exact" w:before="682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K2. Digital Transformation &amp; Organizational Change Readiness</w:t>
      </w:r>
    </w:p>
    <w:p>
      <w:pPr>
        <w:autoSpaceDN w:val="0"/>
        <w:autoSpaceDE w:val="0"/>
        <w:widowControl/>
        <w:spacing w:line="478" w:lineRule="exact" w:before="154" w:after="0"/>
        <w:ind w:left="1440" w:right="1438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Framing.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 governance-enabled AI screening system is only as defensible as the organi-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sation’s ability to absorb it. This subsection operationalises organisational change readi-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ness as a B2B governance question — not as a generic digital-transformation framework.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eight dimensions identify whether the provider organisation can hold the governance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contracts in Appendix H and the caregiver-ecosystem contracts in Appendix J across 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multi-year deployment.</w:t>
      </w:r>
    </w:p>
    <w:p>
      <w:pPr>
        <w:autoSpaceDN w:val="0"/>
        <w:autoSpaceDE w:val="0"/>
        <w:widowControl/>
        <w:spacing w:line="478" w:lineRule="exact" w:before="0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Positioning rule.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Governance-enabled organisational change readiness strengthens sus-</w:t>
      </w:r>
      <w:r>
        <w:rPr>
          <w:rFonts w:ascii="LMRoman12" w:hAnsi="LMRoman12" w:eastAsia="LMRoman12"/>
          <w:b w:val="0"/>
          <w:i/>
          <w:color w:val="000000"/>
          <w:sz w:val="24"/>
        </w:rPr>
        <w:t>tainable healthcare AI adoption by improving clinician trust continuity, operational trans-</w:t>
      </w:r>
      <w:r>
        <w:rPr>
          <w:rFonts w:ascii="LMRoman12" w:hAnsi="LMRoman12" w:eastAsia="LMRoman12"/>
          <w:b w:val="0"/>
          <w:i/>
          <w:color w:val="000000"/>
          <w:sz w:val="24"/>
        </w:rPr>
        <w:t>formation alignment, and long-term governance sustainability.</w:t>
      </w:r>
    </w:p>
    <w:p>
      <w:pPr>
        <w:autoSpaceDN w:val="0"/>
        <w:autoSpaceDE w:val="0"/>
        <w:widowControl/>
        <w:spacing w:line="288" w:lineRule="exact" w:before="240" w:after="194"/>
        <w:ind w:left="1440" w:right="216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5.196.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Transformation Readiness: eight operationalised dimensions with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construct definitions and observable indicators.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310"/>
        </w:trPr>
        <w:tc>
          <w:tcPr>
            <w:tcW w:type="dxa" w:w="1480"/>
            <w:tcBorders>
              <w:top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Dimension</w:t>
            </w:r>
          </w:p>
        </w:tc>
        <w:tc>
          <w:tcPr>
            <w:tcW w:type="dxa" w:w="3980"/>
            <w:tcBorders>
              <w:top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45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Construct meaning</w:t>
            </w:r>
          </w:p>
        </w:tc>
        <w:tc>
          <w:tcPr>
            <w:tcW w:type="dxa" w:w="3566"/>
            <w:tcBorders>
              <w:top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0" w:right="822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Observable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36.0" w:type="dxa"/>
      </w:tblPr>
      <w:tblGrid>
        <w:gridCol w:w="3009"/>
        <w:gridCol w:w="3009"/>
        <w:gridCol w:w="3009"/>
      </w:tblGrid>
      <w:tr>
        <w:trPr>
          <w:trHeight w:hRule="exact" w:val="296"/>
        </w:trPr>
        <w:tc>
          <w:tcPr>
            <w:tcW w:type="dxa" w:w="1704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2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1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indicator</w:t>
            </w:r>
          </w:p>
        </w:tc>
      </w:tr>
      <w:tr>
        <w:trPr>
          <w:trHeight w:hRule="exact" w:val="278"/>
        </w:trPr>
        <w:tc>
          <w:tcPr>
            <w:tcW w:type="dxa" w:w="1704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Organizational</w:t>
            </w:r>
          </w:p>
        </w:tc>
        <w:tc>
          <w:tcPr>
            <w:tcW w:type="dxa" w:w="5220"/>
            <w:vMerge w:val="restart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2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Is the provider operationally prepared for AI adoption?</w:t>
            </w:r>
          </w:p>
        </w:tc>
        <w:tc>
          <w:tcPr>
            <w:tcW w:type="dxa" w:w="211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Readiness self-</w:t>
            </w:r>
          </w:p>
        </w:tc>
      </w:tr>
      <w:tr>
        <w:trPr>
          <w:trHeight w:hRule="exact" w:val="260"/>
        </w:trPr>
        <w:tc>
          <w:tcPr>
            <w:tcW w:type="dxa" w:w="1704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Readiness</w:t>
            </w:r>
          </w:p>
        </w:tc>
        <w:tc>
          <w:tcPr>
            <w:tcW w:type="dxa" w:w="3009"/>
            <w:vMerge/>
            <w:tcBorders>
              <w:top w:sz="3.984800100326538" w:val="single" w:color="#00007F"/>
            </w:tcBorders>
          </w:tcPr>
          <w:p/>
        </w:tc>
        <w:tc>
          <w:tcPr>
            <w:tcW w:type="dxa" w:w="211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0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assessment score;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60.0" w:type="dxa"/>
      </w:tblPr>
      <w:tblGrid>
        <w:gridCol w:w="9026"/>
      </w:tblGrid>
      <w:tr>
        <w:trPr>
          <w:trHeight w:hRule="exact" w:val="238"/>
        </w:trPr>
        <w:tc>
          <w:tcPr>
            <w:tcW w:type="dxa" w:w="64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0" w:right="120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governance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22"/>
        </w:trPr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4" w:after="0"/>
              <w:ind w:left="60" w:right="144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Governance-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 xml:space="preserve">Enabled 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Transformation</w:t>
            </w:r>
          </w:p>
        </w:tc>
        <w:tc>
          <w:tcPr>
            <w:tcW w:type="dxa" w:w="7266"/>
            <w:gridSpan w:val="2"/>
            <w:tcBorders/>
            <w:shd w:fill="fcf0f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0" w:right="49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prerequisites met</w:t>
            </w:r>
          </w:p>
        </w:tc>
      </w:tr>
      <w:tr>
        <w:trPr>
          <w:trHeight w:hRule="exact" w:val="240"/>
        </w:trPr>
        <w:tc>
          <w:tcPr>
            <w:tcW w:type="dxa" w:w="3009"/>
            <w:vMerge/>
            <w:tcBorders/>
          </w:tcPr>
          <w:p/>
        </w:tc>
        <w:tc>
          <w:tcPr>
            <w:tcW w:type="dxa" w:w="4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11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Does governance sustain the transformation across</w:t>
            </w:r>
          </w:p>
        </w:tc>
        <w:tc>
          <w:tcPr>
            <w:tcW w:type="dxa" w:w="23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3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Governance change-</w:t>
            </w:r>
          </w:p>
        </w:tc>
      </w:tr>
      <w:tr>
        <w:trPr>
          <w:trHeight w:hRule="exact" w:val="240"/>
        </w:trPr>
        <w:tc>
          <w:tcPr>
            <w:tcW w:type="dxa" w:w="3009"/>
            <w:vMerge/>
            <w:tcBorders/>
          </w:tcPr>
          <w:p/>
        </w:tc>
        <w:tc>
          <w:tcPr>
            <w:tcW w:type="dxa" w:w="4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6" w:after="0"/>
              <w:ind w:left="11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phases?</w:t>
            </w:r>
          </w:p>
        </w:tc>
        <w:tc>
          <w:tcPr>
            <w:tcW w:type="dxa" w:w="23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6" w:after="0"/>
              <w:ind w:left="3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control count;</w:t>
            </w:r>
          </w:p>
        </w:tc>
      </w:tr>
      <w:tr>
        <w:trPr>
          <w:trHeight w:hRule="exact" w:val="266"/>
        </w:trPr>
        <w:tc>
          <w:tcPr>
            <w:tcW w:type="dxa" w:w="3009"/>
            <w:vMerge/>
            <w:tcBorders/>
          </w:tcPr>
          <w:p/>
        </w:tc>
        <w:tc>
          <w:tcPr>
            <w:tcW w:type="dxa" w:w="72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4" w:after="0"/>
              <w:ind w:left="0" w:right="21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rollback-success rate</w:t>
            </w:r>
          </w:p>
        </w:tc>
      </w:tr>
      <w:tr>
        <w:trPr>
          <w:trHeight w:hRule="exact" w:val="468"/>
        </w:trPr>
        <w:tc>
          <w:tcPr>
            <w:tcW w:type="dxa" w:w="18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Clinician-</w:t>
            </w:r>
            <w:r>
              <w:br/>
            </w: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Centered Change</w:t>
            </w:r>
          </w:p>
        </w:tc>
        <w:tc>
          <w:tcPr>
            <w:tcW w:type="dxa" w:w="7266"/>
            <w:gridSpan w:val="2"/>
            <w:tcBorders/>
            <w:shd w:fill="fcf0f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78" w:val="left"/>
              </w:tabs>
              <w:autoSpaceDE w:val="0"/>
              <w:widowControl/>
              <w:spacing w:line="224" w:lineRule="exact" w:before="0" w:after="0"/>
              <w:ind w:left="114" w:right="144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Do clinicians adapt sustainably to AI-assisted workflows? Clinician override + </w:t>
            </w:r>
            <w:r>
              <w:tab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concurrence rate (J8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3009"/>
        <w:gridCol w:w="3009"/>
        <w:gridCol w:w="3009"/>
      </w:tblGrid>
      <w:tr>
        <w:trPr>
          <w:trHeight w:hRule="exact" w:val="226"/>
        </w:trPr>
        <w:tc>
          <w:tcPr>
            <w:tcW w:type="dxa" w:w="2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6" w:after="0"/>
              <w:ind w:left="0" w:right="454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Operational</w:t>
            </w:r>
          </w:p>
        </w:tc>
        <w:tc>
          <w:tcPr>
            <w:tcW w:type="dxa" w:w="5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58" w:after="0"/>
              <w:ind w:left="29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Does transformation hold over time, not just at go-live?</w:t>
            </w:r>
          </w:p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15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audit)</w:t>
            </w:r>
          </w:p>
        </w:tc>
      </w:tr>
      <w:tr>
        <w:trPr>
          <w:trHeight w:hRule="exact" w:val="220"/>
        </w:trPr>
        <w:tc>
          <w:tcPr>
            <w:tcW w:type="dxa" w:w="3009"/>
            <w:vMerge/>
            <w:tcBorders/>
          </w:tcPr>
          <w:p/>
        </w:tc>
        <w:tc>
          <w:tcPr>
            <w:tcW w:type="dxa" w:w="3009"/>
            <w:vMerge/>
            <w:tcBorders/>
          </w:tcPr>
          <w:p/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15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Active-use rate at</w:t>
            </w:r>
          </w:p>
        </w:tc>
      </w:tr>
      <w:tr>
        <w:trPr>
          <w:trHeight w:hRule="exact" w:val="272"/>
        </w:trPr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4" w:after="0"/>
              <w:ind w:left="0" w:right="270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Sustainability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50" w:after="0"/>
              <w:ind w:left="158" w:right="0" w:firstLine="0"/>
              <w:jc w:val="left"/>
            </w:pPr>
            <w:r>
              <w:rPr>
                <w:rFonts w:ascii="LMMathItalic10" w:hAnsi="LMMathItalic10" w:eastAsia="LMMathItalic10"/>
                <w:b w:val="0"/>
                <w:i/>
                <w:color w:val="000000"/>
                <w:sz w:val="20"/>
              </w:rPr>
              <w:t>𝑇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+ 30</w:t>
            </w:r>
            <w:r>
              <w:rPr>
                <w:rFonts w:ascii="LMMathItalic10" w:hAnsi="LMMathItalic10" w:eastAsia="LMMathItalic10"/>
                <w:b w:val="0"/>
                <w:i/>
                <w:color w:val="000000"/>
                <w:sz w:val="20"/>
              </w:rPr>
              <w:t>/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 + 90</w:t>
            </w:r>
            <w:r>
              <w:rPr>
                <w:rFonts w:ascii="LMMathItalic10" w:hAnsi="LMMathItalic10" w:eastAsia="LMMathItalic10"/>
                <w:b w:val="0"/>
                <w:i/>
                <w:color w:val="000000"/>
                <w:sz w:val="20"/>
              </w:rPr>
              <w:t>/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 + 180</w:t>
            </w:r>
          </w:p>
        </w:tc>
      </w:tr>
    </w:tbl>
    <w:p>
      <w:pPr>
        <w:autoSpaceDN w:val="0"/>
        <w:autoSpaceDE w:val="0"/>
        <w:widowControl/>
        <w:spacing w:line="198" w:lineRule="exact" w:before="18" w:after="32"/>
        <w:ind w:left="0" w:right="298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days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00"/>
        </w:trPr>
        <w:tc>
          <w:tcPr>
            <w:tcW w:type="dxa" w:w="16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Governance</w:t>
            </w:r>
          </w:p>
        </w:tc>
        <w:tc>
          <w:tcPr>
            <w:tcW w:type="dxa" w:w="53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39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Are governance + strategy + operations aligned on the</w:t>
            </w:r>
          </w:p>
        </w:tc>
        <w:tc>
          <w:tcPr>
            <w:tcW w:type="dxa" w:w="216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Documented goal</w:t>
            </w:r>
          </w:p>
        </w:tc>
      </w:tr>
      <w:tr>
        <w:trPr>
          <w:trHeight w:hRule="exact" w:val="268"/>
        </w:trPr>
        <w:tc>
          <w:tcPr>
            <w:tcW w:type="dxa" w:w="16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Alignment</w:t>
            </w:r>
          </w:p>
        </w:tc>
        <w:tc>
          <w:tcPr>
            <w:tcW w:type="dxa" w:w="53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8" w:after="0"/>
              <w:ind w:left="39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same outcomes?</w:t>
            </w:r>
          </w:p>
        </w:tc>
        <w:tc>
          <w:tcPr>
            <w:tcW w:type="dxa" w:w="216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alignment; quarterly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3009"/>
        <w:gridCol w:w="3009"/>
        <w:gridCol w:w="3009"/>
      </w:tblGrid>
      <w:tr>
        <w:trPr>
          <w:trHeight w:hRule="exact" w:val="232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54" w:after="0"/>
              <w:ind w:left="0" w:right="410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Leadership</w:t>
            </w:r>
          </w:p>
        </w:tc>
        <w:tc>
          <w:tcPr>
            <w:tcW w:type="dxa" w:w="5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58" w:after="0"/>
              <w:ind w:left="4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Does leadership actively sponsor the transformation?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2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review minutes</w:t>
            </w:r>
          </w:p>
        </w:tc>
      </w:tr>
      <w:tr>
        <w:trPr>
          <w:trHeight w:hRule="exact" w:val="220"/>
        </w:trPr>
        <w:tc>
          <w:tcPr>
            <w:tcW w:type="dxa" w:w="3009"/>
            <w:vMerge/>
            <w:tcBorders/>
          </w:tcPr>
          <w:p/>
        </w:tc>
        <w:tc>
          <w:tcPr>
            <w:tcW w:type="dxa" w:w="3009"/>
            <w:vMerge/>
            <w:tcBorders/>
          </w:tcPr>
          <w:p/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2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Executive-sponsor</w:t>
            </w:r>
          </w:p>
        </w:tc>
      </w:tr>
      <w:tr>
        <w:trPr>
          <w:trHeight w:hRule="exact" w:val="266"/>
        </w:trPr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Support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4" w:after="0"/>
              <w:ind w:left="2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presence; resourcing</w:t>
            </w:r>
          </w:p>
        </w:tc>
      </w:tr>
    </w:tbl>
    <w:p>
      <w:pPr>
        <w:autoSpaceDN w:val="0"/>
        <w:autoSpaceDE w:val="0"/>
        <w:widowControl/>
        <w:spacing w:line="200" w:lineRule="exact" w:before="18" w:after="32"/>
        <w:ind w:left="0" w:right="260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decisions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24"/>
        </w:trPr>
        <w:tc>
          <w:tcPr>
            <w:tcW w:type="dxa" w:w="1860"/>
            <w:vMerge w:val="restart"/>
            <w:tcBorders/>
            <w:shd w:fill="fcf0f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Trust Continuity</w:t>
            </w:r>
          </w:p>
        </w:tc>
        <w:tc>
          <w:tcPr>
            <w:tcW w:type="dxa" w:w="52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Does trust survive transformation events (release,</w:t>
            </w:r>
          </w:p>
        </w:tc>
        <w:tc>
          <w:tcPr>
            <w:tcW w:type="dxa" w:w="208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Trust score before vs.</w:t>
            </w:r>
          </w:p>
        </w:tc>
      </w:tr>
      <w:tr>
        <w:trPr>
          <w:trHeight w:hRule="exact" w:val="254"/>
        </w:trPr>
        <w:tc>
          <w:tcPr>
            <w:tcW w:type="dxa" w:w="3009"/>
            <w:vMerge/>
            <w:tcBorders/>
          </w:tcPr>
          <w:p/>
        </w:tc>
        <w:tc>
          <w:tcPr>
            <w:tcW w:type="dxa" w:w="52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1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rollback, drift)?</w:t>
            </w:r>
          </w:p>
        </w:tc>
        <w:tc>
          <w:tcPr>
            <w:tcW w:type="dxa" w:w="208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after each event</w:t>
            </w:r>
          </w:p>
        </w:tc>
      </w:tr>
      <w:tr>
        <w:trPr>
          <w:trHeight w:hRule="exact" w:val="206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Sustainable AI</w:t>
            </w:r>
          </w:p>
        </w:tc>
        <w:tc>
          <w:tcPr>
            <w:tcW w:type="dxa" w:w="5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Does the AI capability stay operationally healthy beyond</w:t>
            </w:r>
          </w:p>
        </w:tc>
        <w:tc>
          <w:tcPr>
            <w:tcW w:type="dxa" w:w="20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Steady-state SLA</w:t>
            </w:r>
          </w:p>
        </w:tc>
      </w:tr>
      <w:tr>
        <w:trPr>
          <w:trHeight w:hRule="exact" w:val="240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Operationalisa-</w:t>
            </w:r>
          </w:p>
        </w:tc>
        <w:tc>
          <w:tcPr>
            <w:tcW w:type="dxa" w:w="5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 project?</w:t>
            </w:r>
          </w:p>
        </w:tc>
        <w:tc>
          <w:tcPr>
            <w:tcW w:type="dxa" w:w="20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adherence; incident</w:t>
            </w:r>
          </w:p>
        </w:tc>
      </w:tr>
      <w:tr>
        <w:trPr>
          <w:trHeight w:hRule="exact" w:val="288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tion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20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0" w:after="0"/>
              <w:ind w:left="9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rate trend</w:t>
            </w:r>
          </w:p>
        </w:tc>
      </w:tr>
    </w:tbl>
    <w:p>
      <w:pPr>
        <w:autoSpaceDN w:val="0"/>
        <w:autoSpaceDE w:val="0"/>
        <w:widowControl/>
        <w:spacing w:line="282" w:lineRule="exact" w:before="0" w:after="0"/>
        <w:ind w:left="1440" w:right="144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Each indicator is observable from the provider organisation’s existing operational data; no new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instrumentation is required.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730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2832100</wp:posOffset>
            </wp:positionH>
            <wp:positionV relativeFrom="page">
              <wp:posOffset>6680200</wp:posOffset>
            </wp:positionV>
            <wp:extent cx="1892300" cy="17526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92300" cy="1752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0" w:lineRule="exact" w:before="668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5.197.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Transformation Readiness Survey Item Examples. Items target the</w:t>
      </w:r>
    </w:p>
    <w:p>
      <w:pPr>
        <w:autoSpaceDN w:val="0"/>
        <w:autoSpaceDE w:val="0"/>
        <w:widowControl/>
        <w:spacing w:line="238" w:lineRule="exact" w:before="50" w:after="0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organisation-side respondent (operational leader, governance owner, or clinical lead),</w:t>
      </w:r>
    </w:p>
    <w:p>
      <w:pPr>
        <w:autoSpaceDN w:val="0"/>
        <w:autoSpaceDE w:val="0"/>
        <w:widowControl/>
        <w:spacing w:line="240" w:lineRule="exact" w:before="50" w:after="194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separate from the clinician trust instrument.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4513"/>
        <w:gridCol w:w="4513"/>
      </w:tblGrid>
      <w:tr>
        <w:trPr>
          <w:trHeight w:hRule="exact" w:val="364"/>
        </w:trPr>
        <w:tc>
          <w:tcPr>
            <w:tcW w:type="dxa" w:w="1720"/>
            <w:tcBorders>
              <w:top w:sz="9.599999999999909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Dimension</w:t>
            </w:r>
          </w:p>
        </w:tc>
        <w:tc>
          <w:tcPr>
            <w:tcW w:type="dxa" w:w="7306"/>
            <w:tcBorders>
              <w:top w:sz="9.599999999999909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44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Sample item</w:t>
            </w:r>
          </w:p>
        </w:tc>
      </w:tr>
      <w:tr>
        <w:trPr>
          <w:trHeight w:hRule="exact" w:val="298"/>
        </w:trPr>
        <w:tc>
          <w:tcPr>
            <w:tcW w:type="dxa" w:w="172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Organizational</w:t>
            </w:r>
          </w:p>
        </w:tc>
        <w:tc>
          <w:tcPr>
            <w:tcW w:type="dxa" w:w="7306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4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“Our organisation is operationally prepared for healthcare AI adoption.”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4513"/>
        <w:gridCol w:w="4513"/>
      </w:tblGrid>
      <w:tr>
        <w:trPr>
          <w:trHeight w:hRule="exact" w:val="252"/>
        </w:trPr>
        <w:tc>
          <w:tcPr>
            <w:tcW w:type="dxa" w:w="20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Readiness</w:t>
            </w:r>
          </w:p>
        </w:tc>
        <w:tc>
          <w:tcPr>
            <w:tcW w:type="dxa" w:w="7126"/>
            <w:tcBorders/>
            <w:shd w:fill="fcf0f5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6"/>
        </w:trPr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Governance-Enabled</w:t>
            </w:r>
          </w:p>
        </w:tc>
        <w:tc>
          <w:tcPr>
            <w:tcW w:type="dxa" w:w="71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“Governance mechanisms have sustained this transformation.”</w:t>
            </w:r>
          </w:p>
        </w:tc>
      </w:tr>
    </w:tbl>
    <w:p>
      <w:pPr>
        <w:autoSpaceDN w:val="0"/>
        <w:autoSpaceDE w:val="0"/>
        <w:widowControl/>
        <w:spacing w:line="200" w:lineRule="exact" w:before="20" w:after="32"/>
        <w:ind w:left="144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Transformation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4513"/>
        <w:gridCol w:w="4513"/>
      </w:tblGrid>
      <w:tr>
        <w:trPr>
          <w:trHeight w:hRule="exact" w:val="228"/>
        </w:trPr>
        <w:tc>
          <w:tcPr>
            <w:tcW w:type="dxa" w:w="19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Clinician-Centered</w:t>
            </w:r>
          </w:p>
        </w:tc>
        <w:tc>
          <w:tcPr>
            <w:tcW w:type="dxa" w:w="720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8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“Clinicians in this site have adapted sustainably to AI-assisted workflows.”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4513"/>
        <w:gridCol w:w="4513"/>
      </w:tblGrid>
      <w:tr>
        <w:trPr>
          <w:trHeight w:hRule="exact" w:val="478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720" w:right="432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Change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Operational</w:t>
            </w:r>
          </w:p>
        </w:tc>
        <w:tc>
          <w:tcPr>
            <w:tcW w:type="dxa" w:w="7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58" w:after="0"/>
              <w:ind w:left="58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“Active AI-assisted use has held steady through the past 90 days.”</w:t>
            </w:r>
          </w:p>
        </w:tc>
      </w:tr>
    </w:tbl>
    <w:p>
      <w:pPr>
        <w:autoSpaceDN w:val="0"/>
        <w:autoSpaceDE w:val="0"/>
        <w:widowControl/>
        <w:spacing w:line="198" w:lineRule="exact" w:before="20" w:after="32"/>
        <w:ind w:left="144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Sustainability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4513"/>
        <w:gridCol w:w="4513"/>
      </w:tblGrid>
      <w:tr>
        <w:trPr>
          <w:trHeight w:hRule="exact" w:val="240"/>
        </w:trPr>
        <w:tc>
          <w:tcPr>
            <w:tcW w:type="dxa" w:w="21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Governance Alignment</w:t>
            </w:r>
          </w:p>
        </w:tc>
        <w:tc>
          <w:tcPr>
            <w:tcW w:type="dxa" w:w="702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“Governance, strategy, and operations are aligned on the same outcomes.”</w:t>
            </w:r>
          </w:p>
        </w:tc>
      </w:tr>
      <w:tr>
        <w:trPr>
          <w:trHeight w:hRule="exact" w:val="238"/>
        </w:trPr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Leadership Support</w:t>
            </w:r>
          </w:p>
        </w:tc>
        <w:tc>
          <w:tcPr>
            <w:tcW w:type="dxa" w:w="70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“Executive leadership actively sponsors this initiative.”</w:t>
            </w:r>
          </w:p>
        </w:tc>
      </w:tr>
      <w:tr>
        <w:trPr>
          <w:trHeight w:hRule="exact" w:val="240"/>
        </w:trPr>
        <w:tc>
          <w:tcPr>
            <w:tcW w:type="dxa" w:w="21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Trust Continuity</w:t>
            </w:r>
          </w:p>
        </w:tc>
        <w:tc>
          <w:tcPr>
            <w:tcW w:type="dxa" w:w="702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“Clinician trust held through our last model release / rollback / drift event.”</w:t>
            </w:r>
          </w:p>
        </w:tc>
      </w:tr>
      <w:tr>
        <w:trPr>
          <w:trHeight w:hRule="exact" w:val="226"/>
        </w:trPr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Sustainable AI</w:t>
            </w:r>
          </w:p>
        </w:tc>
        <w:tc>
          <w:tcPr>
            <w:tcW w:type="dxa" w:w="70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“Healthcare AI operationalisation remains stable over time.”</w:t>
            </w:r>
          </w:p>
        </w:tc>
      </w:tr>
    </w:tbl>
    <w:p>
      <w:pPr>
        <w:autoSpaceDN w:val="0"/>
        <w:autoSpaceDE w:val="0"/>
        <w:widowControl/>
        <w:spacing w:line="200" w:lineRule="exact" w:before="20" w:after="0"/>
        <w:ind w:left="144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Operationalisation</w:t>
      </w:r>
    </w:p>
    <w:p>
      <w:pPr>
        <w:autoSpaceDN w:val="0"/>
        <w:autoSpaceDE w:val="0"/>
        <w:widowControl/>
        <w:spacing w:line="240" w:lineRule="exact" w:before="550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5.198.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Transformation Readiness Heatmap. State of each transformation</w:t>
      </w:r>
    </w:p>
    <w:p>
      <w:pPr>
        <w:autoSpaceDN w:val="0"/>
        <w:autoSpaceDE w:val="0"/>
        <w:widowControl/>
        <w:spacing w:line="238" w:lineRule="exact" w:before="50" w:after="194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dimension under weak vs. strong governance.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364"/>
        </w:trPr>
        <w:tc>
          <w:tcPr>
            <w:tcW w:type="dxa" w:w="5120"/>
            <w:gridSpan w:val="2"/>
            <w:tcBorders>
              <w:top w:sz="9.599999999999909" w:val="single" w:color="#00007F"/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Transformation area Weak governance</w:t>
            </w:r>
          </w:p>
        </w:tc>
        <w:tc>
          <w:tcPr>
            <w:tcW w:type="dxa" w:w="3906"/>
            <w:tcBorders>
              <w:top w:sz="9.599999999999909" w:val="single" w:color="#00007F"/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532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Strong governance</w:t>
            </w:r>
          </w:p>
        </w:tc>
      </w:tr>
      <w:tr>
        <w:trPr>
          <w:trHeight w:hRule="exact" w:val="292"/>
        </w:trPr>
        <w:tc>
          <w:tcPr>
            <w:tcW w:type="dxa" w:w="2040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Organizational</w:t>
            </w:r>
          </w:p>
        </w:tc>
        <w:tc>
          <w:tcPr>
            <w:tcW w:type="dxa" w:w="3080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Fragmented; siloed pilots</w:t>
            </w:r>
          </w:p>
        </w:tc>
        <w:tc>
          <w:tcPr>
            <w:tcW w:type="dxa" w:w="3906"/>
            <w:vMerge w:val="restart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532" w:right="72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Operational; cross-functional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alignment</w:t>
            </w:r>
          </w:p>
        </w:tc>
      </w:tr>
      <w:tr>
        <w:trPr>
          <w:trHeight w:hRule="exact" w:val="258"/>
        </w:trPr>
        <w:tc>
          <w:tcPr>
            <w:tcW w:type="dxa" w:w="51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readiness</w:t>
            </w:r>
          </w:p>
        </w:tc>
        <w:tc>
          <w:tcPr>
            <w:tcW w:type="dxa" w:w="3009"/>
            <w:vMerge/>
            <w:tcBorders>
              <w:top w:sz="3.984800100326538" w:val="single" w:color="#00007F"/>
            </w:tcBorders>
          </w:tcPr>
          <w:p/>
        </w:tc>
      </w:tr>
      <w:tr>
        <w:trPr>
          <w:trHeight w:hRule="exact" w:val="240"/>
        </w:trPr>
        <w:tc>
          <w:tcPr>
            <w:tcW w:type="dxa" w:w="2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Governance alignment</w:t>
            </w:r>
          </w:p>
        </w:tc>
        <w:tc>
          <w:tcPr>
            <w:tcW w:type="dxa" w:w="3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Weak; reactive control</w:t>
            </w:r>
          </w:p>
        </w:tc>
        <w:tc>
          <w:tcPr>
            <w:tcW w:type="dxa" w:w="39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5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Coordinated; proactive change-control</w:t>
            </w:r>
          </w:p>
        </w:tc>
      </w:tr>
      <w:tr>
        <w:trPr>
          <w:trHeight w:hRule="exact" w:val="238"/>
        </w:trPr>
        <w:tc>
          <w:tcPr>
            <w:tcW w:type="dxa" w:w="2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Clinician adoption</w:t>
            </w:r>
          </w:p>
        </w:tc>
        <w:tc>
          <w:tcPr>
            <w:tcW w:type="dxa" w:w="3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Unstable; high churn</w:t>
            </w:r>
          </w:p>
        </w:tc>
        <w:tc>
          <w:tcPr>
            <w:tcW w:type="dxa" w:w="39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Sustainable; supported workflow</w:t>
            </w:r>
          </w:p>
        </w:tc>
      </w:tr>
      <w:tr>
        <w:trPr>
          <w:trHeight w:hRule="exact" w:val="228"/>
        </w:trPr>
        <w:tc>
          <w:tcPr>
            <w:tcW w:type="dxa" w:w="2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Transformation</w:t>
            </w:r>
          </w:p>
        </w:tc>
        <w:tc>
          <w:tcPr>
            <w:tcW w:type="dxa" w:w="3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Inconsistent; project-shaped</w:t>
            </w:r>
          </w:p>
        </w:tc>
        <w:tc>
          <w:tcPr>
            <w:tcW w:type="dxa" w:w="39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5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Resilient; operationalised programme</w:t>
            </w:r>
          </w:p>
        </w:tc>
      </w:tr>
    </w:tbl>
    <w:p>
      <w:pPr>
        <w:autoSpaceDN w:val="0"/>
        <w:autoSpaceDE w:val="0"/>
        <w:widowControl/>
        <w:spacing w:line="200" w:lineRule="exact" w:before="8" w:after="32"/>
        <w:ind w:left="144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continuity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38"/>
        </w:trPr>
        <w:tc>
          <w:tcPr>
            <w:tcW w:type="dxa" w:w="19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Leadership support</w:t>
            </w:r>
          </w:p>
        </w:tc>
        <w:tc>
          <w:tcPr>
            <w:tcW w:type="dxa" w:w="29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2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Episodic</w:t>
            </w:r>
          </w:p>
        </w:tc>
        <w:tc>
          <w:tcPr>
            <w:tcW w:type="dxa" w:w="426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8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Sustained executive sponsorship</w:t>
            </w:r>
          </w:p>
        </w:tc>
      </w:tr>
      <w:tr>
        <w:trPr>
          <w:trHeight w:hRule="exact" w:val="228"/>
        </w:trPr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Trust continuity</w:t>
            </w:r>
          </w:p>
        </w:tc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Drops at each release</w:t>
            </w:r>
          </w:p>
        </w:tc>
        <w:tc>
          <w:tcPr>
            <w:tcW w:type="dxa" w:w="4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8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Holds through release + rollback</w:t>
            </w:r>
          </w:p>
        </w:tc>
      </w:tr>
    </w:tbl>
    <w:p>
      <w:pPr>
        <w:autoSpaceDN w:val="0"/>
        <w:autoSpaceDE w:val="0"/>
        <w:widowControl/>
        <w:spacing w:line="198" w:lineRule="exact" w:before="20" w:after="0"/>
        <w:ind w:left="0" w:right="427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events</w:t>
      </w:r>
    </w:p>
    <w:p>
      <w:pPr>
        <w:autoSpaceDN w:val="0"/>
        <w:autoSpaceDE w:val="0"/>
        <w:widowControl/>
        <w:spacing w:line="158" w:lineRule="exact" w:before="690" w:after="0"/>
        <w:ind w:left="0" w:right="0" w:firstLine="0"/>
        <w:jc w:val="center"/>
      </w:pPr>
      <w:r>
        <w:rPr>
          <w:rFonts w:ascii="LMRoman8" w:hAnsi="LMRoman8" w:eastAsia="LMRoman8"/>
          <w:b w:val="0"/>
          <w:i w:val="0"/>
          <w:color w:val="000000"/>
          <w:sz w:val="16"/>
        </w:rPr>
        <w:t>Reactive AI adoption</w:t>
      </w:r>
    </w:p>
    <w:p>
      <w:pPr>
        <w:autoSpaceDN w:val="0"/>
        <w:autoSpaceDE w:val="0"/>
        <w:widowControl/>
        <w:spacing w:line="160" w:lineRule="exact" w:before="408" w:after="0"/>
        <w:ind w:left="0" w:right="0" w:firstLine="0"/>
        <w:jc w:val="center"/>
      </w:pPr>
      <w:r>
        <w:rPr>
          <w:rFonts w:ascii="LMRoman8" w:hAnsi="LMRoman8" w:eastAsia="LMRoman8"/>
          <w:b w:val="0"/>
          <w:i w:val="0"/>
          <w:color w:val="000000"/>
          <w:sz w:val="16"/>
        </w:rPr>
        <w:t>Managed organisational readiness</w:t>
      </w:r>
    </w:p>
    <w:p>
      <w:pPr>
        <w:autoSpaceDN w:val="0"/>
        <w:autoSpaceDE w:val="0"/>
        <w:widowControl/>
        <w:spacing w:line="158" w:lineRule="exact" w:before="408" w:after="0"/>
        <w:ind w:left="0" w:right="0" w:firstLine="0"/>
        <w:jc w:val="center"/>
      </w:pPr>
      <w:r>
        <w:rPr>
          <w:rFonts w:ascii="LMRoman8" w:hAnsi="LMRoman8" w:eastAsia="LMRoman8"/>
          <w:b w:val="0"/>
          <w:i w:val="0"/>
          <w:color w:val="000000"/>
          <w:sz w:val="16"/>
        </w:rPr>
        <w:t>Governed operational transformation</w:t>
      </w:r>
    </w:p>
    <w:p>
      <w:pPr>
        <w:autoSpaceDN w:val="0"/>
        <w:autoSpaceDE w:val="0"/>
        <w:widowControl/>
        <w:spacing w:line="160" w:lineRule="exact" w:before="408" w:after="0"/>
        <w:ind w:left="0" w:right="0" w:firstLine="0"/>
        <w:jc w:val="center"/>
      </w:pPr>
      <w:r>
        <w:rPr>
          <w:rFonts w:ascii="LMRoman8" w:hAnsi="LMRoman8" w:eastAsia="LMRoman8"/>
          <w:b w:val="0"/>
          <w:i w:val="0"/>
          <w:color w:val="000000"/>
          <w:sz w:val="16"/>
        </w:rPr>
        <w:t>Trusted healthcare AI adoption</w:t>
      </w:r>
    </w:p>
    <w:p>
      <w:pPr>
        <w:autoSpaceDN w:val="0"/>
        <w:autoSpaceDE w:val="0"/>
        <w:widowControl/>
        <w:spacing w:line="158" w:lineRule="exact" w:before="408" w:after="0"/>
        <w:ind w:left="0" w:right="0" w:firstLine="0"/>
        <w:jc w:val="center"/>
      </w:pPr>
      <w:r>
        <w:rPr>
          <w:rFonts w:ascii="LMRoman8" w:hAnsi="LMRoman8" w:eastAsia="LMRoman8"/>
          <w:b w:val="0"/>
          <w:i w:val="0"/>
          <w:color w:val="000000"/>
          <w:sz w:val="16"/>
        </w:rPr>
        <w:t>Sustainable governance-enabled AI</w:t>
      </w:r>
    </w:p>
    <w:p>
      <w:pPr>
        <w:autoSpaceDN w:val="0"/>
        <w:autoSpaceDE w:val="0"/>
        <w:widowControl/>
        <w:spacing w:line="240" w:lineRule="exact" w:before="340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Figure 5.31.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Transformation Readiness Maturity Ladder. The five-state path maps</w:t>
      </w:r>
    </w:p>
    <w:p>
      <w:pPr>
        <w:autoSpaceDN w:val="0"/>
        <w:autoSpaceDE w:val="0"/>
        <w:widowControl/>
        <w:spacing w:line="240" w:lineRule="exact" w:before="48" w:after="0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directly onto the RGAIG levels (Ch. 1, Table</w:t>
      </w:r>
      <w:r>
        <w:rPr>
          <w:rFonts w:ascii="LMRoman12" w:hAnsi="LMRoman12" w:eastAsia="LMRoman12"/>
          <w:b w:val="0"/>
          <w:i w:val="0"/>
          <w:color w:val="000080"/>
          <w:sz w:val="24"/>
        </w:rPr>
        <w:t xml:space="preserve"> 1.4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 at the organisational-change axis.</w:t>
      </w:r>
    </w:p>
    <w:p>
      <w:pPr>
        <w:autoSpaceDN w:val="0"/>
        <w:autoSpaceDE w:val="0"/>
        <w:widowControl/>
        <w:spacing w:line="240" w:lineRule="exact" w:before="678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24"/>
        </w:rPr>
        <w:t>Limitation.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maturity ladder is normative; longitudinal validation requires multi-</w:t>
      </w:r>
    </w:p>
    <w:p>
      <w:pPr>
        <w:autoSpaceDN w:val="0"/>
        <w:autoSpaceDE w:val="0"/>
        <w:widowControl/>
        <w:spacing w:line="238" w:lineRule="exact" w:before="238" w:after="0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site, multi-quarter deployment data not collected in the pilot.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731</w:t>
      </w:r>
    </w:p>
    <w:p>
      <w:pPr>
        <w:autoSpaceDN w:val="0"/>
        <w:autoSpaceDE w:val="0"/>
        <w:widowControl/>
        <w:spacing w:line="240" w:lineRule="exact" w:before="682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K3. AI Risk Governance &amp; Operational Safety</w:t>
      </w:r>
    </w:p>
    <w:p>
      <w:pPr>
        <w:autoSpaceDN w:val="0"/>
        <w:tabs>
          <w:tab w:pos="2608" w:val="left"/>
        </w:tabs>
        <w:autoSpaceDE w:val="0"/>
        <w:widowControl/>
        <w:spacing w:line="478" w:lineRule="exact" w:before="154" w:after="0"/>
        <w:ind w:left="1440" w:right="144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Framing.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dissertation already operates risk-relevant controls (audit, drift, registry,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rollback).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 subsection consolidates them under an operational-safety frame: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can </w:t>
      </w:r>
      <w:r>
        <w:rPr>
          <w:rFonts w:ascii="LMRoman12" w:hAnsi="LMRoman12" w:eastAsia="LMRoman12"/>
          <w:b w:val="0"/>
          <w:i/>
          <w:color w:val="000000"/>
          <w:sz w:val="24"/>
        </w:rPr>
        <w:t>the governance system protect clinician trust + patient safety + accountability continu-</w:t>
      </w:r>
      <w:r>
        <w:rPr>
          <w:rFonts w:ascii="LMRoman12" w:hAnsi="LMRoman12" w:eastAsia="LMRoman12"/>
          <w:b w:val="0"/>
          <w:i/>
          <w:color w:val="000000"/>
          <w:sz w:val="24"/>
        </w:rPr>
        <w:t>ity under incident conditions?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It is positioned as B2B operational governance, not 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cybersecurity engineering.</w:t>
      </w:r>
    </w:p>
    <w:p>
      <w:pPr>
        <w:autoSpaceDN w:val="0"/>
        <w:tabs>
          <w:tab w:pos="3638" w:val="left"/>
        </w:tabs>
        <w:autoSpaceDE w:val="0"/>
        <w:widowControl/>
        <w:spacing w:line="478" w:lineRule="exact" w:before="0" w:after="0"/>
        <w:ind w:left="1440" w:right="144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Positioning rule. </w:t>
      </w:r>
      <w:r>
        <w:tab/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Governance-enabled operational safeguard mechanisms strengthen 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sustainable healthcare AI adoption by improving clinician trust protection, accountability </w:t>
      </w:r>
      <w:r>
        <w:rPr>
          <w:rFonts w:ascii="LMRoman12" w:hAnsi="LMRoman12" w:eastAsia="LMRoman12"/>
          <w:b w:val="0"/>
          <w:i/>
          <w:color w:val="000000"/>
          <w:sz w:val="24"/>
        </w:rPr>
        <w:t>continuity, and operational safety assurance.</w:t>
      </w:r>
    </w:p>
    <w:p>
      <w:pPr>
        <w:autoSpaceDN w:val="0"/>
        <w:autoSpaceDE w:val="0"/>
        <w:widowControl/>
        <w:spacing w:line="288" w:lineRule="exact" w:before="240" w:after="194"/>
        <w:ind w:left="1440" w:right="2304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5.199.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AI Risk Governance &amp; Operational Safety: eight operationalised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dimensions with construct definitions and observable indicators.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310"/>
        </w:trPr>
        <w:tc>
          <w:tcPr>
            <w:tcW w:type="dxa" w:w="1480"/>
            <w:tcBorders>
              <w:top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Dimension</w:t>
            </w:r>
          </w:p>
        </w:tc>
        <w:tc>
          <w:tcPr>
            <w:tcW w:type="dxa" w:w="3980"/>
            <w:tcBorders>
              <w:top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45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Construct meaning</w:t>
            </w:r>
          </w:p>
        </w:tc>
        <w:tc>
          <w:tcPr>
            <w:tcW w:type="dxa" w:w="3566"/>
            <w:tcBorders>
              <w:top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0" w:right="822" w:firstLine="0"/>
              <w:jc w:val="righ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Observable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36.0" w:type="dxa"/>
      </w:tblPr>
      <w:tblGrid>
        <w:gridCol w:w="3009"/>
        <w:gridCol w:w="3009"/>
        <w:gridCol w:w="3009"/>
      </w:tblGrid>
      <w:tr>
        <w:trPr>
          <w:trHeight w:hRule="exact" w:val="294"/>
        </w:trPr>
        <w:tc>
          <w:tcPr>
            <w:tcW w:type="dxa" w:w="1824"/>
            <w:tcBorders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5100"/>
            <w:tcBorders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110"/>
            <w:tcBorders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indicator</w:t>
            </w:r>
          </w:p>
        </w:tc>
      </w:tr>
      <w:tr>
        <w:trPr>
          <w:trHeight w:hRule="exact" w:val="278"/>
        </w:trPr>
        <w:tc>
          <w:tcPr>
            <w:tcW w:type="dxa" w:w="1824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6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Operational</w:t>
            </w:r>
          </w:p>
        </w:tc>
        <w:tc>
          <w:tcPr>
            <w:tcW w:type="dxa" w:w="5100"/>
            <w:vMerge w:val="restart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11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 AI-assisted workflows remain operationally safe?</w:t>
            </w:r>
          </w:p>
        </w:tc>
        <w:tc>
          <w:tcPr>
            <w:tcW w:type="dxa" w:w="2110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Workflow incident</w:t>
            </w:r>
          </w:p>
        </w:tc>
      </w:tr>
      <w:tr>
        <w:trPr>
          <w:trHeight w:hRule="exact" w:val="272"/>
        </w:trPr>
        <w:tc>
          <w:tcPr>
            <w:tcW w:type="dxa" w:w="18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Safety Assurance</w:t>
            </w:r>
          </w:p>
        </w:tc>
        <w:tc>
          <w:tcPr>
            <w:tcW w:type="dxa" w:w="3009"/>
            <w:vMerge/>
            <w:tcBorders>
              <w:top w:sz="3.984800100326538" w:val="single" w:color="#00007F"/>
            </w:tcBorders>
          </w:tcPr>
          <w:p/>
        </w:tc>
        <w:tc>
          <w:tcPr>
            <w:tcW w:type="dxa" w:w="21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rate; near-miss count</w:t>
            </w:r>
          </w:p>
        </w:tc>
      </w:tr>
      <w:tr>
        <w:trPr>
          <w:trHeight w:hRule="exact" w:val="208"/>
        </w:trPr>
        <w:tc>
          <w:tcPr>
            <w:tcW w:type="dxa" w:w="18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Governance-</w:t>
            </w:r>
          </w:p>
        </w:tc>
        <w:tc>
          <w:tcPr>
            <w:tcW w:type="dxa" w:w="51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1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Does governance reduce operational AI risk?</w:t>
            </w:r>
          </w:p>
        </w:tc>
        <w:tc>
          <w:tcPr>
            <w:tcW w:type="dxa" w:w="21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Risk-register burn-</w:t>
            </w:r>
          </w:p>
        </w:tc>
      </w:tr>
      <w:tr>
        <w:trPr>
          <w:trHeight w:hRule="exact" w:val="240"/>
        </w:trPr>
        <w:tc>
          <w:tcPr>
            <w:tcW w:type="dxa" w:w="18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Based Risk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21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0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down; mitigation</w:t>
            </w:r>
          </w:p>
        </w:tc>
      </w:tr>
      <w:tr>
        <w:trPr>
          <w:trHeight w:hRule="exact" w:val="270"/>
        </w:trPr>
        <w:tc>
          <w:tcPr>
            <w:tcW w:type="dxa" w:w="18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Mitigation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21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closure rate</w:t>
            </w:r>
          </w:p>
        </w:tc>
      </w:tr>
      <w:tr>
        <w:trPr>
          <w:trHeight w:hRule="exact" w:val="190"/>
        </w:trPr>
        <w:tc>
          <w:tcPr>
            <w:tcW w:type="dxa" w:w="18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Clinician Trust</w:t>
            </w:r>
          </w:p>
        </w:tc>
        <w:tc>
          <w:tcPr>
            <w:tcW w:type="dxa" w:w="51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1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Is clinician trust preserved during incident conditions?</w:t>
            </w:r>
          </w:p>
        </w:tc>
        <w:tc>
          <w:tcPr>
            <w:tcW w:type="dxa" w:w="21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Pre/post-incident</w:t>
            </w:r>
          </w:p>
        </w:tc>
      </w:tr>
      <w:tr>
        <w:trPr>
          <w:trHeight w:hRule="exact" w:val="288"/>
        </w:trPr>
        <w:tc>
          <w:tcPr>
            <w:tcW w:type="dxa" w:w="18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Protection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21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6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trust differential</w:t>
            </w:r>
          </w:p>
        </w:tc>
      </w:tr>
      <w:tr>
        <w:trPr>
          <w:trHeight w:hRule="exact" w:val="192"/>
        </w:trPr>
        <w:tc>
          <w:tcPr>
            <w:tcW w:type="dxa" w:w="18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Accountability</w:t>
            </w:r>
          </w:p>
        </w:tc>
        <w:tc>
          <w:tcPr>
            <w:tcW w:type="dxa" w:w="510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Is accountability traceable across AI-assisted decisions?</w:t>
            </w:r>
          </w:p>
        </w:tc>
        <w:tc>
          <w:tcPr>
            <w:tcW w:type="dxa" w:w="21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Decision-audit</w:t>
            </w:r>
          </w:p>
        </w:tc>
      </w:tr>
      <w:tr>
        <w:trPr>
          <w:trHeight w:hRule="exact" w:val="276"/>
        </w:trPr>
        <w:tc>
          <w:tcPr>
            <w:tcW w:type="dxa" w:w="182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8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Continuity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21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4" w:after="0"/>
              <w:ind w:left="17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completeness rate</w:t>
            </w:r>
          </w:p>
        </w:tc>
      </w:tr>
    </w:tbl>
    <w:p>
      <w:pPr>
        <w:autoSpaceDN w:val="0"/>
        <w:autoSpaceDE w:val="0"/>
        <w:widowControl/>
        <w:spacing w:line="200" w:lineRule="exact" w:before="18" w:after="30"/>
        <w:ind w:left="0" w:right="160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(§ 48 explainability)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196"/>
        </w:trPr>
        <w:tc>
          <w:tcPr>
            <w:tcW w:type="dxa" w:w="18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Workflow Safety</w:t>
            </w:r>
          </w:p>
        </w:tc>
        <w:tc>
          <w:tcPr>
            <w:tcW w:type="dxa" w:w="48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15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 clinicians trust workflow safety in AI-assisted</w:t>
            </w:r>
          </w:p>
        </w:tc>
        <w:tc>
          <w:tcPr>
            <w:tcW w:type="dxa" w:w="244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5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Self-reported</w:t>
            </w:r>
          </w:p>
        </w:tc>
      </w:tr>
      <w:tr>
        <w:trPr>
          <w:trHeight w:hRule="exact" w:val="274"/>
        </w:trPr>
        <w:tc>
          <w:tcPr>
            <w:tcW w:type="dxa" w:w="18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6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Confidence</w:t>
            </w:r>
          </w:p>
        </w:tc>
        <w:tc>
          <w:tcPr>
            <w:tcW w:type="dxa" w:w="486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15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operations?</w:t>
            </w:r>
          </w:p>
        </w:tc>
        <w:tc>
          <w:tcPr>
            <w:tcW w:type="dxa" w:w="244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45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workflow safety;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26"/>
        </w:trPr>
        <w:tc>
          <w:tcPr>
            <w:tcW w:type="dxa" w:w="186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4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Governance</w:t>
            </w:r>
          </w:p>
        </w:tc>
        <w:tc>
          <w:tcPr>
            <w:tcW w:type="dxa" w:w="49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56" w:after="0"/>
              <w:ind w:left="1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Does governance hold under operational disruption?</w:t>
            </w:r>
          </w:p>
        </w:tc>
        <w:tc>
          <w:tcPr>
            <w:tcW w:type="dxa" w:w="2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8" w:after="0"/>
              <w:ind w:left="3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override pattern</w:t>
            </w:r>
          </w:p>
        </w:tc>
      </w:tr>
      <w:tr>
        <w:trPr>
          <w:trHeight w:hRule="exact" w:val="220"/>
        </w:trPr>
        <w:tc>
          <w:tcPr>
            <w:tcW w:type="dxa" w:w="3009"/>
            <w:vMerge/>
            <w:tcBorders/>
          </w:tcPr>
          <w:p/>
        </w:tc>
        <w:tc>
          <w:tcPr>
            <w:tcW w:type="dxa" w:w="3009"/>
            <w:vMerge/>
            <w:tcBorders/>
          </w:tcPr>
          <w:p/>
        </w:tc>
        <w:tc>
          <w:tcPr>
            <w:tcW w:type="dxa" w:w="2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3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Time-to-rollback;</w:t>
            </w:r>
          </w:p>
        </w:tc>
      </w:tr>
      <w:tr>
        <w:trPr>
          <w:trHeight w:hRule="exact" w:val="280"/>
        </w:trPr>
        <w:tc>
          <w:tcPr>
            <w:tcW w:type="dxa" w:w="1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Resilience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2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50" w:after="0"/>
              <w:ind w:left="3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rollback-success rate</w:t>
            </w:r>
          </w:p>
        </w:tc>
      </w:tr>
      <w:tr>
        <w:trPr>
          <w:trHeight w:hRule="exact" w:val="200"/>
        </w:trPr>
        <w:tc>
          <w:tcPr>
            <w:tcW w:type="dxa" w:w="1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Operational</w:t>
            </w:r>
          </w:p>
        </w:tc>
        <w:tc>
          <w:tcPr>
            <w:tcW w:type="dxa" w:w="49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0.0" w:type="dxa"/>
            </w:tblPr>
            <w:tblGrid>
              <w:gridCol w:w="4980"/>
            </w:tblGrid>
            <w:tr>
              <w:trPr>
                <w:trHeight w:hRule="exact" w:val="698"/>
              </w:trPr>
              <w:tc>
                <w:tcPr>
                  <w:tcW w:type="dxa" w:w="4760"/>
                  <w:tcBorders/>
                  <w:shd w:fill="fcf0f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8" w:after="0"/>
                    <w:ind w:left="0" w:right="0" w:firstLine="0"/>
                    <w:jc w:val="center"/>
                  </w:pPr>
                  <w:r>
                    <w:rPr>
                      <w:rFonts w:ascii="LMRoman10" w:hAnsi="LMRoman10" w:eastAsia="LMRoman10"/>
                      <w:b w:val="0"/>
                      <w:i w:val="0"/>
                      <w:color w:val="000000"/>
                      <w:sz w:val="20"/>
                    </w:rPr>
                    <w:t>Do safeguards actually intervene when they should?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3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Guardrail trigger</w:t>
            </w:r>
          </w:p>
        </w:tc>
      </w:tr>
      <w:tr>
        <w:trPr>
          <w:trHeight w:hRule="exact" w:val="240"/>
        </w:trPr>
        <w:tc>
          <w:tcPr>
            <w:tcW w:type="dxa" w:w="1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Safeguard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2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2" w:after="0"/>
              <w:ind w:left="3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rate; true-positive</w:t>
            </w:r>
          </w:p>
        </w:tc>
      </w:tr>
      <w:tr>
        <w:trPr>
          <w:trHeight w:hRule="exact" w:val="278"/>
        </w:trPr>
        <w:tc>
          <w:tcPr>
            <w:tcW w:type="dxa" w:w="1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Effectiveness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2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3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intervention rate</w:t>
            </w:r>
          </w:p>
        </w:tc>
      </w:tr>
      <w:tr>
        <w:trPr>
          <w:trHeight w:hRule="exact" w:val="202"/>
        </w:trPr>
        <w:tc>
          <w:tcPr>
            <w:tcW w:type="dxa" w:w="1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Sustainable Risk</w:t>
            </w:r>
          </w:p>
        </w:tc>
        <w:tc>
          <w:tcPr>
            <w:tcW w:type="dxa" w:w="49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Are risks managed sustainably over time?</w:t>
            </w:r>
          </w:p>
        </w:tc>
        <w:tc>
          <w:tcPr>
            <w:tcW w:type="dxa" w:w="2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4" w:after="0"/>
              <w:ind w:left="3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Risk-register closure</w:t>
            </w:r>
          </w:p>
        </w:tc>
      </w:tr>
      <w:tr>
        <w:trPr>
          <w:trHeight w:hRule="exact" w:val="268"/>
        </w:trPr>
        <w:tc>
          <w:tcPr>
            <w:tcW w:type="dxa" w:w="1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Operationalisa-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230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4" w:after="0"/>
              <w:ind w:left="31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trend; SLA adherence</w:t>
            </w:r>
          </w:p>
        </w:tc>
      </w:tr>
    </w:tbl>
    <w:p>
      <w:pPr>
        <w:autoSpaceDN w:val="0"/>
        <w:autoSpaceDE w:val="0"/>
        <w:widowControl/>
        <w:spacing w:line="198" w:lineRule="exact" w:before="20" w:after="0"/>
        <w:ind w:left="1440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tion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732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2806700</wp:posOffset>
            </wp:positionH>
            <wp:positionV relativeFrom="page">
              <wp:posOffset>5435600</wp:posOffset>
            </wp:positionV>
            <wp:extent cx="1943100" cy="17526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17526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88" w:lineRule="exact" w:before="620" w:after="194"/>
        <w:ind w:left="1440" w:right="1728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5.200.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Risk Governance Survey Item Examples. Items target the operational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risk owner or compliance lead.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4513"/>
        <w:gridCol w:w="4513"/>
      </w:tblGrid>
      <w:tr>
        <w:trPr>
          <w:trHeight w:hRule="exact" w:val="366"/>
        </w:trPr>
        <w:tc>
          <w:tcPr>
            <w:tcW w:type="dxa" w:w="2040"/>
            <w:tcBorders>
              <w:top w:sz="9.600000000000023" w:val="single" w:color="#00007F"/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Dimension</w:t>
            </w:r>
          </w:p>
        </w:tc>
        <w:tc>
          <w:tcPr>
            <w:tcW w:type="dxa" w:w="6986"/>
            <w:tcBorders>
              <w:top w:sz="9.600000000000023" w:val="single" w:color="#00007F"/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Sample item</w:t>
            </w:r>
          </w:p>
        </w:tc>
      </w:tr>
      <w:tr>
        <w:trPr>
          <w:trHeight w:hRule="exact" w:val="310"/>
        </w:trPr>
        <w:tc>
          <w:tcPr>
            <w:tcW w:type="dxa" w:w="2040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Operational Safety</w:t>
            </w:r>
          </w:p>
        </w:tc>
        <w:tc>
          <w:tcPr>
            <w:tcW w:type="dxa" w:w="6986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“AI-assisted workflows maintain operational safety standards.”</w:t>
            </w:r>
          </w:p>
        </w:tc>
      </w:tr>
      <w:tr>
        <w:trPr>
          <w:trHeight w:hRule="exact" w:val="238"/>
        </w:trPr>
        <w:tc>
          <w:tcPr>
            <w:tcW w:type="dxa" w:w="2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Risk Mitigation</w:t>
            </w:r>
          </w:p>
        </w:tc>
        <w:tc>
          <w:tcPr>
            <w:tcW w:type="dxa" w:w="69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“Governance mechanisms effectively mitigate operational AI risks.”</w:t>
            </w:r>
          </w:p>
        </w:tc>
      </w:tr>
      <w:tr>
        <w:trPr>
          <w:trHeight w:hRule="exact" w:val="240"/>
        </w:trPr>
        <w:tc>
          <w:tcPr>
            <w:tcW w:type="dxa" w:w="2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Trust Protection</w:t>
            </w:r>
          </w:p>
        </w:tc>
        <w:tc>
          <w:tcPr>
            <w:tcW w:type="dxa" w:w="69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“Clinician trust is protected during incident conditions.”</w:t>
            </w:r>
          </w:p>
        </w:tc>
      </w:tr>
      <w:tr>
        <w:trPr>
          <w:trHeight w:hRule="exact" w:val="240"/>
        </w:trPr>
        <w:tc>
          <w:tcPr>
            <w:tcW w:type="dxa" w:w="2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Accountability</w:t>
            </w:r>
          </w:p>
        </w:tc>
        <w:tc>
          <w:tcPr>
            <w:tcW w:type="dxa" w:w="69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“Operational accountability is traceable in AI-assisted decisions.”</w:t>
            </w:r>
          </w:p>
        </w:tc>
      </w:tr>
      <w:tr>
        <w:trPr>
          <w:trHeight w:hRule="exact" w:val="238"/>
        </w:trPr>
        <w:tc>
          <w:tcPr>
            <w:tcW w:type="dxa" w:w="2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Workflow Safety</w:t>
            </w:r>
          </w:p>
        </w:tc>
        <w:tc>
          <w:tcPr>
            <w:tcW w:type="dxa" w:w="69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“Governance safeguards support workflow safety effectively.”</w:t>
            </w:r>
          </w:p>
        </w:tc>
      </w:tr>
      <w:tr>
        <w:trPr>
          <w:trHeight w:hRule="exact" w:val="228"/>
        </w:trPr>
        <w:tc>
          <w:tcPr>
            <w:tcW w:type="dxa" w:w="2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Governance Resilience</w:t>
            </w:r>
          </w:p>
        </w:tc>
        <w:tc>
          <w:tcPr>
            <w:tcW w:type="dxa" w:w="698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“Governance held effective during our last operational disruption.”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4513"/>
        <w:gridCol w:w="4513"/>
      </w:tblGrid>
      <w:tr>
        <w:trPr>
          <w:trHeight w:hRule="exact" w:val="238"/>
        </w:trPr>
        <w:tc>
          <w:tcPr>
            <w:tcW w:type="dxa" w:w="9026"/>
            <w:gridSpan w:val="2"/>
            <w:tcBorders/>
            <w:shd w:fill="fcf0f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Safeguard Effectiveness “Operational safeguards work as designed when needed.”</w:t>
            </w:r>
          </w:p>
        </w:tc>
      </w:tr>
      <w:tr>
        <w:trPr>
          <w:trHeight w:hRule="exact" w:val="292"/>
        </w:trPr>
        <w:tc>
          <w:tcPr>
            <w:tcW w:type="dxa" w:w="2000"/>
            <w:tcBorders>
              <w:bottom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Sustainable Risk Ops</w:t>
            </w:r>
          </w:p>
        </w:tc>
        <w:tc>
          <w:tcPr>
            <w:tcW w:type="dxa" w:w="7026"/>
            <w:tcBorders>
              <w:bottom w:sz="9.599999999999909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“Risk management remains operationally sustainable over time.”</w:t>
            </w:r>
          </w:p>
        </w:tc>
      </w:tr>
    </w:tbl>
    <w:p>
      <w:pPr>
        <w:autoSpaceDN w:val="0"/>
        <w:autoSpaceDE w:val="0"/>
        <w:widowControl/>
        <w:spacing w:line="288" w:lineRule="exact" w:before="418" w:after="194"/>
        <w:ind w:left="1440" w:right="1584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5.201.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Operational Safety Heatmap. State of each safeguard dimension under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weak vs. strong governance.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364"/>
        </w:trPr>
        <w:tc>
          <w:tcPr>
            <w:tcW w:type="dxa" w:w="1780"/>
            <w:tcBorders>
              <w:top w:sz="9.600000000000364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Safety area</w:t>
            </w:r>
          </w:p>
        </w:tc>
        <w:tc>
          <w:tcPr>
            <w:tcW w:type="dxa" w:w="3540"/>
            <w:tcBorders>
              <w:top w:sz="9.600000000000364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38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Weak governance</w:t>
            </w:r>
          </w:p>
        </w:tc>
        <w:tc>
          <w:tcPr>
            <w:tcW w:type="dxa" w:w="3706"/>
            <w:tcBorders>
              <w:top w:sz="9.600000000000364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8" w:after="0"/>
              <w:ind w:left="332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Strong governance</w:t>
            </w:r>
          </w:p>
        </w:tc>
      </w:tr>
      <w:tr>
        <w:trPr>
          <w:trHeight w:hRule="exact" w:val="312"/>
        </w:trPr>
        <w:tc>
          <w:tcPr>
            <w:tcW w:type="dxa" w:w="178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Workflow safety</w:t>
            </w:r>
          </w:p>
        </w:tc>
        <w:tc>
          <w:tcPr>
            <w:tcW w:type="dxa" w:w="354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38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Fragmented; ad-hoc</w:t>
            </w:r>
          </w:p>
        </w:tc>
        <w:tc>
          <w:tcPr>
            <w:tcW w:type="dxa" w:w="3706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3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Operational; standardised</w:t>
            </w:r>
          </w:p>
        </w:tc>
      </w:tr>
      <w:tr>
        <w:trPr>
          <w:trHeight w:hRule="exact" w:val="238"/>
        </w:trPr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Trust protection</w:t>
            </w:r>
          </w:p>
        </w:tc>
        <w:tc>
          <w:tcPr>
            <w:tcW w:type="dxa" w:w="3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Unstable; collapses post-incident</w:t>
            </w:r>
          </w:p>
        </w:tc>
        <w:tc>
          <w:tcPr>
            <w:tcW w:type="dxa" w:w="37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3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Resilient; survives incident</w:t>
            </w:r>
          </w:p>
        </w:tc>
      </w:tr>
      <w:tr>
        <w:trPr>
          <w:trHeight w:hRule="exact" w:val="228"/>
        </w:trPr>
        <w:tc>
          <w:tcPr>
            <w:tcW w:type="dxa" w:w="17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Accountability</w:t>
            </w:r>
          </w:p>
        </w:tc>
        <w:tc>
          <w:tcPr>
            <w:tcW w:type="dxa" w:w="354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38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Weak; gaps in audit trail</w:t>
            </w:r>
          </w:p>
        </w:tc>
        <w:tc>
          <w:tcPr>
            <w:tcW w:type="dxa" w:w="370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3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Sustainable; complete trail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238"/>
        </w:trPr>
        <w:tc>
          <w:tcPr>
            <w:tcW w:type="dxa" w:w="510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continuity</w:t>
            </w:r>
          </w:p>
        </w:tc>
        <w:tc>
          <w:tcPr>
            <w:tcW w:type="dxa" w:w="3926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58" w:after="0"/>
              <w:ind w:left="5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Trusted; reliable intervention</w:t>
            </w:r>
          </w:p>
        </w:tc>
      </w:tr>
      <w:tr>
        <w:trPr>
          <w:trHeight w:hRule="exact" w:val="252"/>
        </w:trPr>
        <w:tc>
          <w:tcPr>
            <w:tcW w:type="dxa" w:w="20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Safeguard effectiveness</w:t>
            </w:r>
          </w:p>
        </w:tc>
        <w:tc>
          <w:tcPr>
            <w:tcW w:type="dxa" w:w="3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Inconsistent; mixed triggers</w:t>
            </w:r>
          </w:p>
        </w:tc>
        <w:tc>
          <w:tcPr>
            <w:tcW w:type="dxa" w:w="3009"/>
            <w:vMerge/>
            <w:tcBorders/>
          </w:tcPr>
          <w:p/>
        </w:tc>
      </w:tr>
      <w:tr>
        <w:trPr>
          <w:trHeight w:hRule="exact" w:val="238"/>
        </w:trPr>
        <w:tc>
          <w:tcPr>
            <w:tcW w:type="dxa" w:w="20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Governance resilience</w:t>
            </w:r>
          </w:p>
        </w:tc>
        <w:tc>
          <w:tcPr>
            <w:tcW w:type="dxa" w:w="30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Fragile; recovery slow</w:t>
            </w:r>
          </w:p>
        </w:tc>
        <w:tc>
          <w:tcPr>
            <w:tcW w:type="dxa" w:w="39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5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Robust; recovery within SLA</w:t>
            </w:r>
          </w:p>
        </w:tc>
      </w:tr>
      <w:tr>
        <w:trPr>
          <w:trHeight w:hRule="exact" w:val="292"/>
        </w:trPr>
        <w:tc>
          <w:tcPr>
            <w:tcW w:type="dxa" w:w="5100"/>
            <w:gridSpan w:val="2"/>
            <w:tcBorders>
              <w:bottom w:sz="9.599999999999909" w:val="single" w:color="#00007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Risk operationalisation Reactive; firefighting</w:t>
            </w:r>
          </w:p>
        </w:tc>
        <w:tc>
          <w:tcPr>
            <w:tcW w:type="dxa" w:w="3926"/>
            <w:tcBorders>
              <w:bottom w:sz="9.599999999999909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Sustainable; risk-register-driven</w:t>
            </w:r>
          </w:p>
        </w:tc>
      </w:tr>
    </w:tbl>
    <w:p>
      <w:pPr>
        <w:autoSpaceDN w:val="0"/>
        <w:autoSpaceDE w:val="0"/>
        <w:widowControl/>
        <w:spacing w:line="160" w:lineRule="exact" w:before="604" w:after="0"/>
        <w:ind w:left="0" w:right="0" w:firstLine="0"/>
        <w:jc w:val="center"/>
      </w:pPr>
      <w:r>
        <w:rPr>
          <w:rFonts w:ascii="LMRoman8" w:hAnsi="LMRoman8" w:eastAsia="LMRoman8"/>
          <w:b w:val="0"/>
          <w:i w:val="0"/>
          <w:color w:val="000000"/>
          <w:sz w:val="16"/>
        </w:rPr>
        <w:t>Reactive AI risk management</w:t>
      </w:r>
    </w:p>
    <w:p>
      <w:pPr>
        <w:autoSpaceDN w:val="0"/>
        <w:autoSpaceDE w:val="0"/>
        <w:widowControl/>
        <w:spacing w:line="160" w:lineRule="exact" w:before="408" w:after="0"/>
        <w:ind w:left="0" w:right="0" w:firstLine="0"/>
        <w:jc w:val="center"/>
      </w:pPr>
      <w:r>
        <w:rPr>
          <w:rFonts w:ascii="LMRoman8" w:hAnsi="LMRoman8" w:eastAsia="LMRoman8"/>
          <w:b w:val="0"/>
          <w:i w:val="0"/>
          <w:color w:val="000000"/>
          <w:sz w:val="16"/>
        </w:rPr>
        <w:t>Managed governance safeguards</w:t>
      </w:r>
    </w:p>
    <w:p>
      <w:pPr>
        <w:autoSpaceDN w:val="0"/>
        <w:autoSpaceDE w:val="0"/>
        <w:widowControl/>
        <w:spacing w:line="160" w:lineRule="exact" w:before="406" w:after="0"/>
        <w:ind w:left="0" w:right="0" w:firstLine="0"/>
        <w:jc w:val="center"/>
      </w:pPr>
      <w:r>
        <w:rPr>
          <w:rFonts w:ascii="LMRoman8" w:hAnsi="LMRoman8" w:eastAsia="LMRoman8"/>
          <w:b w:val="0"/>
          <w:i w:val="0"/>
          <w:color w:val="000000"/>
          <w:sz w:val="16"/>
        </w:rPr>
        <w:t>Operational safety governance</w:t>
      </w:r>
    </w:p>
    <w:p>
      <w:pPr>
        <w:autoSpaceDN w:val="0"/>
        <w:autoSpaceDE w:val="0"/>
        <w:widowControl/>
        <w:spacing w:line="160" w:lineRule="exact" w:before="408" w:after="0"/>
        <w:ind w:left="0" w:right="0" w:firstLine="0"/>
        <w:jc w:val="center"/>
      </w:pPr>
      <w:r>
        <w:rPr>
          <w:rFonts w:ascii="LMRoman8" w:hAnsi="LMRoman8" w:eastAsia="LMRoman8"/>
          <w:b w:val="0"/>
          <w:i w:val="0"/>
          <w:color w:val="000000"/>
          <w:sz w:val="16"/>
        </w:rPr>
        <w:t>Trusted healthcare AI protection</w:t>
      </w:r>
    </w:p>
    <w:p>
      <w:pPr>
        <w:autoSpaceDN w:val="0"/>
        <w:autoSpaceDE w:val="0"/>
        <w:widowControl/>
        <w:spacing w:line="160" w:lineRule="exact" w:before="406" w:after="0"/>
        <w:ind w:left="0" w:right="0" w:firstLine="0"/>
        <w:jc w:val="center"/>
      </w:pPr>
      <w:r>
        <w:rPr>
          <w:rFonts w:ascii="LMRoman8" w:hAnsi="LMRoman8" w:eastAsia="LMRoman8"/>
          <w:b w:val="0"/>
          <w:i w:val="0"/>
          <w:color w:val="000000"/>
          <w:sz w:val="16"/>
        </w:rPr>
        <w:t>Sustainable governance-enabled safety</w:t>
      </w:r>
    </w:p>
    <w:p>
      <w:pPr>
        <w:autoSpaceDN w:val="0"/>
        <w:autoSpaceDE w:val="0"/>
        <w:widowControl/>
        <w:spacing w:line="288" w:lineRule="exact" w:before="288" w:after="0"/>
        <w:ind w:left="1440" w:right="144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Figure 5.32.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Risk Governance Maturity Ladder. The five-state path complements 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transformation ladder (Figure</w:t>
      </w:r>
      <w:r>
        <w:rPr>
          <w:rFonts w:ascii="LMRoman12" w:hAnsi="LMRoman12" w:eastAsia="LMRoman12"/>
          <w:b w:val="0"/>
          <w:i w:val="0"/>
          <w:color w:val="000080"/>
          <w:sz w:val="24"/>
        </w:rPr>
        <w:t xml:space="preserve"> 5.31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); a defensible system advances both ladders 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mstep.</w:t>
      </w:r>
    </w:p>
    <w:p>
      <w:pPr>
        <w:autoSpaceDN w:val="0"/>
        <w:autoSpaceDE w:val="0"/>
        <w:widowControl/>
        <w:spacing w:line="240" w:lineRule="exact" w:before="678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24"/>
        </w:rPr>
        <w:t>Limitation.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Incident-condition trust measurement requires longitudinal data not col-</w:t>
      </w:r>
    </w:p>
    <w:p>
      <w:pPr>
        <w:autoSpaceDN w:val="0"/>
        <w:autoSpaceDE w:val="0"/>
        <w:widowControl/>
        <w:spacing w:line="238" w:lineRule="exact" w:before="238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lected in the pilot. The dimensions are operationalised as a defensibility specification,</w:t>
      </w:r>
    </w:p>
    <w:p>
      <w:pPr>
        <w:autoSpaceDN w:val="0"/>
        <w:autoSpaceDE w:val="0"/>
        <w:widowControl/>
        <w:spacing w:line="238" w:lineRule="exact" w:before="240" w:after="0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 as a tested empirical model.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733</w:t>
      </w:r>
    </w:p>
    <w:p>
      <w:pPr>
        <w:autoSpaceDN w:val="0"/>
        <w:autoSpaceDE w:val="0"/>
        <w:widowControl/>
        <w:spacing w:line="240" w:lineRule="exact" w:before="682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K4. Triad Integration: How the Three Axes Compose</w:t>
      </w:r>
    </w:p>
    <w:p>
      <w:pPr>
        <w:autoSpaceDN w:val="0"/>
        <w:autoSpaceDE w:val="0"/>
        <w:widowControl/>
        <w:spacing w:line="240" w:lineRule="exact" w:before="392" w:after="0"/>
        <w:ind w:left="0" w:right="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24"/>
        </w:rPr>
        <w:t>The integration premise.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 governance system is operationally defensible only when</w:t>
      </w:r>
    </w:p>
    <w:p>
      <w:pPr>
        <w:autoSpaceDN w:val="0"/>
        <w:autoSpaceDE w:val="0"/>
        <w:widowControl/>
        <w:spacing w:line="240" w:lineRule="exact" w:before="238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all three triad axes hold simultaneously. The integration table below identifies the joint</w:t>
      </w:r>
    </w:p>
    <w:p>
      <w:pPr>
        <w:autoSpaceDN w:val="0"/>
        <w:autoSpaceDE w:val="0"/>
        <w:widowControl/>
        <w:spacing w:line="240" w:lineRule="exact" w:before="238" w:after="0"/>
        <w:ind w:left="144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failure modes when any single axis is weak.</w:t>
      </w:r>
    </w:p>
    <w:p>
      <w:pPr>
        <w:autoSpaceDN w:val="0"/>
        <w:autoSpaceDE w:val="0"/>
        <w:widowControl/>
        <w:spacing w:line="288" w:lineRule="exact" w:before="240" w:after="194"/>
        <w:ind w:left="1440" w:right="1584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5.202.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Triad Joint Failure Modes. Each row identifies the failure that emerges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when one axis is weak while the other two are strong — demonstrating that the triad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 be reduced to its strongest axis.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2256"/>
        <w:gridCol w:w="2256"/>
        <w:gridCol w:w="2256"/>
        <w:gridCol w:w="2256"/>
      </w:tblGrid>
      <w:tr>
        <w:trPr>
          <w:trHeight w:hRule="exact" w:val="366"/>
        </w:trPr>
        <w:tc>
          <w:tcPr>
            <w:tcW w:type="dxa" w:w="1580"/>
            <w:tcBorders>
              <w:top w:sz="9.600000000000136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Weak axis</w:t>
            </w:r>
          </w:p>
        </w:tc>
        <w:tc>
          <w:tcPr>
            <w:tcW w:type="dxa" w:w="2220"/>
            <w:tcBorders>
              <w:top w:sz="9.600000000000136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T-readiness state</w:t>
            </w:r>
          </w:p>
        </w:tc>
        <w:tc>
          <w:tcPr>
            <w:tcW w:type="dxa" w:w="2340"/>
            <w:tcBorders>
              <w:top w:sz="9.600000000000136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386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Risk gov state</w:t>
            </w:r>
          </w:p>
        </w:tc>
        <w:tc>
          <w:tcPr>
            <w:tcW w:type="dxa" w:w="2886"/>
            <w:tcBorders>
              <w:top w:sz="9.600000000000136" w:val="single" w:color="#00007F"/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526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Failure that emerges</w:t>
            </w:r>
          </w:p>
        </w:tc>
      </w:tr>
      <w:tr>
        <w:trPr>
          <w:trHeight w:hRule="exact" w:val="278"/>
        </w:trPr>
        <w:tc>
          <w:tcPr>
            <w:tcW w:type="dxa" w:w="158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7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K1 weak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 (Trust</w:t>
            </w:r>
          </w:p>
        </w:tc>
        <w:tc>
          <w:tcPr>
            <w:tcW w:type="dxa" w:w="2220"/>
            <w:vMerge w:val="restart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Strong</w:t>
            </w:r>
          </w:p>
        </w:tc>
        <w:tc>
          <w:tcPr>
            <w:tcW w:type="dxa" w:w="2340"/>
            <w:vMerge w:val="restart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38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Strong</w:t>
            </w:r>
          </w:p>
        </w:tc>
        <w:tc>
          <w:tcPr>
            <w:tcW w:type="dxa" w:w="2886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5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Caregivers + clinicians</w:t>
            </w:r>
          </w:p>
        </w:tc>
      </w:tr>
      <w:tr>
        <w:trPr>
          <w:trHeight w:hRule="exact" w:val="260"/>
        </w:trPr>
        <w:tc>
          <w:tcPr>
            <w:tcW w:type="dxa" w:w="15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Protection)</w:t>
            </w:r>
          </w:p>
        </w:tc>
        <w:tc>
          <w:tcPr>
            <w:tcW w:type="dxa" w:w="2256"/>
            <w:vMerge/>
            <w:tcBorders>
              <w:top w:sz="3.984800100326538" w:val="single" w:color="#00007F"/>
            </w:tcBorders>
          </w:tcPr>
          <w:p/>
        </w:tc>
        <w:tc>
          <w:tcPr>
            <w:tcW w:type="dxa" w:w="2256"/>
            <w:vMerge/>
            <w:tcBorders>
              <w:top w:sz="3.984800100326538" w:val="single" w:color="#00007F"/>
            </w:tcBorders>
          </w:tcPr>
          <w:p/>
        </w:tc>
        <w:tc>
          <w:tcPr>
            <w:tcW w:type="dxa" w:w="288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5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distrust the system despite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40.0" w:type="dxa"/>
      </w:tblPr>
      <w:tblGrid>
        <w:gridCol w:w="9026"/>
      </w:tblGrid>
      <w:tr>
        <w:trPr>
          <w:trHeight w:hRule="exact" w:val="238"/>
        </w:trPr>
        <w:tc>
          <w:tcPr>
            <w:tcW w:type="dxa" w:w="692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0" w:right="91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well-run ops; adoption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2256"/>
        <w:gridCol w:w="2256"/>
        <w:gridCol w:w="2256"/>
        <w:gridCol w:w="2256"/>
      </w:tblGrid>
      <w:tr>
        <w:trPr>
          <w:trHeight w:hRule="exact" w:val="222"/>
        </w:trPr>
        <w:tc>
          <w:tcPr>
            <w:tcW w:type="dxa" w:w="2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4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K2 weak</w:t>
            </w:r>
          </w:p>
        </w:tc>
        <w:tc>
          <w:tcPr>
            <w:tcW w:type="dxa" w:w="1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0" w:after="0"/>
              <w:ind w:left="14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Weak</w:t>
            </w:r>
          </w:p>
        </w:tc>
        <w:tc>
          <w:tcPr>
            <w:tcW w:type="dxa" w:w="2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Strong</w:t>
            </w:r>
          </w:p>
        </w:tc>
        <w:tc>
          <w:tcPr>
            <w:tcW w:type="dxa" w:w="3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collapses at the surface</w:t>
            </w:r>
          </w:p>
        </w:tc>
      </w:tr>
      <w:tr>
        <w:trPr>
          <w:trHeight w:hRule="exact" w:val="220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3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Governance and safety</w:t>
            </w:r>
          </w:p>
        </w:tc>
      </w:tr>
      <w:tr>
        <w:trPr>
          <w:trHeight w:hRule="exact" w:val="260"/>
        </w:trPr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6" w:after="0"/>
              <w:ind w:left="0" w:right="14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(Transformation</w:t>
            </w:r>
          </w:p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3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6" w:after="0"/>
              <w:ind w:left="96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hold, but the org cannot</w:t>
            </w:r>
          </w:p>
        </w:tc>
      </w:tr>
      <w:tr>
        <w:trPr>
          <w:trHeight w:hRule="exact" w:val="254"/>
        </w:trPr>
        <w:tc>
          <w:tcPr>
            <w:tcW w:type="dxa" w:w="2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6" w:after="0"/>
              <w:ind w:left="0" w:right="62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Readiness)</w:t>
            </w:r>
          </w:p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3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6" w:after="0"/>
              <w:ind w:left="96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absorb the change;</w:t>
            </w:r>
          </w:p>
        </w:tc>
      </w:tr>
    </w:tbl>
    <w:p>
      <w:pPr>
        <w:autoSpaceDN w:val="0"/>
        <w:autoSpaceDE w:val="0"/>
        <w:widowControl/>
        <w:spacing w:line="230" w:lineRule="exact" w:before="0" w:after="32"/>
        <w:ind w:left="8106" w:right="158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deployment stalls or rolls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>back to manual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2256"/>
        <w:gridCol w:w="2256"/>
        <w:gridCol w:w="2256"/>
        <w:gridCol w:w="2256"/>
      </w:tblGrid>
      <w:tr>
        <w:trPr>
          <w:trHeight w:hRule="exact" w:val="196"/>
        </w:trPr>
        <w:tc>
          <w:tcPr>
            <w:tcW w:type="dxa" w:w="16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K3 weak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 (Risk</w:t>
            </w:r>
          </w:p>
        </w:tc>
        <w:tc>
          <w:tcPr>
            <w:tcW w:type="dxa" w:w="1680"/>
            <w:vMerge w:val="restart"/>
            <w:tcBorders/>
            <w:shd w:fill="fcf0f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6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Strong</w:t>
            </w:r>
          </w:p>
        </w:tc>
        <w:tc>
          <w:tcPr>
            <w:tcW w:type="dxa" w:w="2480"/>
            <w:vMerge w:val="restart"/>
            <w:tcBorders/>
            <w:shd w:fill="fcf0f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Strong</w:t>
            </w:r>
          </w:p>
        </w:tc>
        <w:tc>
          <w:tcPr>
            <w:tcW w:type="dxa" w:w="338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8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Adoption proceeds, then</w:t>
            </w:r>
          </w:p>
        </w:tc>
      </w:tr>
      <w:tr>
        <w:trPr>
          <w:trHeight w:hRule="exact" w:val="272"/>
        </w:trPr>
        <w:tc>
          <w:tcPr>
            <w:tcW w:type="dxa" w:w="160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Governance)</w:t>
            </w:r>
          </w:p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338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0" w:right="39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 incident destroys all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36.0" w:type="dxa"/>
      </w:tblPr>
      <w:tblGrid>
        <w:gridCol w:w="2256"/>
        <w:gridCol w:w="2256"/>
        <w:gridCol w:w="2256"/>
        <w:gridCol w:w="2256"/>
      </w:tblGrid>
      <w:tr>
        <w:trPr>
          <w:trHeight w:hRule="exact" w:val="296"/>
        </w:trPr>
        <w:tc>
          <w:tcPr>
            <w:tcW w:type="dxa" w:w="1344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4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4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1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0" w:right="13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accumulated trust capital</w:t>
            </w:r>
          </w:p>
        </w:tc>
      </w:tr>
      <w:tr>
        <w:trPr>
          <w:trHeight w:hRule="exact" w:val="300"/>
        </w:trPr>
        <w:tc>
          <w:tcPr>
            <w:tcW w:type="dxa" w:w="1344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Two weak</w:t>
            </w:r>
          </w:p>
        </w:tc>
        <w:tc>
          <w:tcPr>
            <w:tcW w:type="dxa" w:w="244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Either combination</w:t>
            </w:r>
          </w:p>
        </w:tc>
        <w:tc>
          <w:tcPr>
            <w:tcW w:type="dxa" w:w="174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40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51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6" w:after="0"/>
              <w:ind w:left="0" w:right="72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System fails before</w:t>
            </w:r>
          </w:p>
        </w:tc>
      </w:tr>
    </w:tbl>
    <w:p>
      <w:pPr>
        <w:autoSpaceDN w:val="0"/>
        <w:autoSpaceDE w:val="0"/>
        <w:widowControl/>
        <w:spacing w:line="232" w:lineRule="exact" w:before="0" w:after="0"/>
        <w:ind w:left="8106" w:right="158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reaching steady state;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governance investment is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>wasted</w:t>
      </w:r>
    </w:p>
    <w:p>
      <w:pPr>
        <w:autoSpaceDN w:val="0"/>
        <w:autoSpaceDE w:val="0"/>
        <w:widowControl/>
        <w:spacing w:line="202" w:lineRule="exact" w:before="96" w:after="0"/>
        <w:ind w:left="0" w:right="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The failure modes are first-principle derivatives of the triad logic — not empirical findings of t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he</w:t>
      </w:r>
    </w:p>
    <w:p>
      <w:pPr>
        <w:autoSpaceDN w:val="0"/>
        <w:autoSpaceDE w:val="0"/>
        <w:widowControl/>
        <w:spacing w:line="238" w:lineRule="exact" w:before="82" w:after="0"/>
        <w:ind w:left="1584" w:right="1584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>pilot. They establish the defensibility argument:</w:t>
      </w:r>
      <w:r>
        <w:rPr>
          <w:rFonts w:ascii="LMRoman10" w:hAnsi="LMRoman10" w:eastAsia="LMRoman10"/>
          <w:b w:val="0"/>
          <w:i/>
          <w:color w:val="000000"/>
          <w:sz w:val="20"/>
        </w:rPr>
        <w:t xml:space="preserve"> the three axes must be jointly governed; the triad </w:t>
      </w:r>
      <w:r>
        <w:rPr>
          <w:rFonts w:ascii="LMRoman10" w:hAnsi="LMRoman10" w:eastAsia="LMRoman10"/>
          <w:b w:val="0"/>
          <w:i/>
          <w:color w:val="000000"/>
          <w:sz w:val="20"/>
        </w:rPr>
        <w:t>cannot be decomposed.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734</w:t>
      </w:r>
    </w:p>
    <w:p>
      <w:pPr>
        <w:autoSpaceDN w:val="0"/>
        <w:autoSpaceDE w:val="0"/>
        <w:widowControl/>
        <w:spacing w:line="288" w:lineRule="exact" w:before="620" w:after="194"/>
        <w:ind w:left="1440" w:right="144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Table 5.203.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Triad Composition with Appendix J Ecosystem. Each Appendix K axis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 paired with the Appendix J ecosystem subsection it most directly composes with 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making the B2B + B2C symmetry visible.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009"/>
        <w:gridCol w:w="3009"/>
        <w:gridCol w:w="3009"/>
      </w:tblGrid>
      <w:tr>
        <w:trPr>
          <w:trHeight w:hRule="exact" w:val="292"/>
        </w:trPr>
        <w:tc>
          <w:tcPr>
            <w:tcW w:type="dxa" w:w="1980"/>
            <w:tcBorders>
              <w:top w:sz="9.599999999999909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Appendix K (B2B)</w:t>
            </w:r>
          </w:p>
        </w:tc>
        <w:tc>
          <w:tcPr>
            <w:tcW w:type="dxa" w:w="3520"/>
            <w:tcBorders>
              <w:top w:sz="9.599999999999909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Composes with Appendix J (B2C</w:t>
            </w:r>
          </w:p>
        </w:tc>
        <w:tc>
          <w:tcPr>
            <w:tcW w:type="dxa" w:w="3526"/>
            <w:vMerge w:val="restart"/>
            <w:tcBorders>
              <w:top w:sz="9.599999999999909" w:val="single" w:color="#00007F"/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78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Joint contract</w:t>
            </w:r>
          </w:p>
        </w:tc>
      </w:tr>
      <w:tr>
        <w:trPr>
          <w:trHeight w:hRule="exact" w:val="312"/>
        </w:trPr>
        <w:tc>
          <w:tcPr>
            <w:tcW w:type="dxa" w:w="1980"/>
            <w:tcBorders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axis</w:t>
            </w:r>
          </w:p>
        </w:tc>
        <w:tc>
          <w:tcPr>
            <w:tcW w:type="dxa" w:w="3520"/>
            <w:tcBorders>
              <w:bottom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68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support)</w:t>
            </w:r>
          </w:p>
        </w:tc>
        <w:tc>
          <w:tcPr>
            <w:tcW w:type="dxa" w:w="3009"/>
            <w:vMerge/>
            <w:tcBorders>
              <w:top w:sz="9.599999999999909" w:val="single" w:color="#00007F"/>
              <w:bottom w:sz="3.984800100326538" w:val="single" w:color="#00007F"/>
            </w:tcBorders>
          </w:tcPr>
          <w:p/>
        </w:tc>
      </w:tr>
      <w:tr>
        <w:trPr>
          <w:trHeight w:hRule="exact" w:val="288"/>
        </w:trPr>
        <w:tc>
          <w:tcPr>
            <w:tcW w:type="dxa" w:w="1980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K1 Caregiver Trust</w:t>
            </w:r>
          </w:p>
        </w:tc>
        <w:tc>
          <w:tcPr>
            <w:tcW w:type="dxa" w:w="3520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6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J3 Accessibility; J4 Cultural</w:t>
            </w:r>
          </w:p>
        </w:tc>
        <w:tc>
          <w:tcPr>
            <w:tcW w:type="dxa" w:w="3526"/>
            <w:tcBorders>
              <w:top w:sz="3.984800100326538" w:val="single" w:color="#0000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4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 caregiver-trust signal is visible</w:t>
            </w:r>
          </w:p>
        </w:tc>
      </w:tr>
      <w:tr>
        <w:trPr>
          <w:trHeight w:hRule="exact" w:val="220"/>
        </w:trPr>
        <w:tc>
          <w:tcPr>
            <w:tcW w:type="dxa" w:w="19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3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Protection</w:t>
            </w:r>
          </w:p>
        </w:tc>
        <w:tc>
          <w:tcPr>
            <w:tcW w:type="dxa" w:w="3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2" w:after="0"/>
              <w:ind w:left="6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Sensitivity; J5 Consent; J6</w:t>
            </w:r>
          </w:p>
        </w:tc>
        <w:tc>
          <w:tcPr>
            <w:tcW w:type="dxa" w:w="3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8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/>
                <w:color w:val="000000"/>
                <w:sz w:val="20"/>
              </w:rPr>
              <w:t>because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 xml:space="preserve"> the J-side surfaces are</w:t>
            </w:r>
          </w:p>
        </w:tc>
      </w:tr>
      <w:tr>
        <w:trPr>
          <w:trHeight w:hRule="exact" w:val="268"/>
        </w:trPr>
        <w:tc>
          <w:tcPr>
            <w:tcW w:type="dxa" w:w="3009"/>
            <w:vMerge/>
            <w:tcBorders/>
          </w:tcPr>
          <w:p/>
        </w:tc>
        <w:tc>
          <w:tcPr>
            <w:tcW w:type="dxa" w:w="3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8" w:after="0"/>
              <w:ind w:left="6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Longitudinal Trust</w:t>
            </w:r>
          </w:p>
        </w:tc>
        <w:tc>
          <w:tcPr>
            <w:tcW w:type="dxa" w:w="35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8" w:after="0"/>
              <w:ind w:left="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accessible, culturally sensitive, consent-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50"/>
        </w:trPr>
        <w:tc>
          <w:tcPr>
            <w:tcW w:type="dxa" w:w="1900"/>
            <w:tcBorders/>
            <w:shd w:fill="fcf0f5"/>
            <w:tcMar>
              <w:start w:w="0" w:type="dxa"/>
              <w:end w:w="0" w:type="dxa"/>
            </w:tcMar>
          </w:tcPr>
          <w:p/>
        </w:tc>
        <w:tc>
          <w:tcPr>
            <w:tcW w:type="dxa" w:w="2980"/>
            <w:tcBorders/>
            <w:shd w:fill="fcf0f5"/>
            <w:tcMar>
              <w:start w:w="0" w:type="dxa"/>
              <w:end w:w="0" w:type="dxa"/>
            </w:tcMar>
          </w:tcPr>
          <w:p/>
        </w:tc>
        <w:tc>
          <w:tcPr>
            <w:tcW w:type="dxa" w:w="426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respecting, and lifecycle-aware</w:t>
            </w:r>
          </w:p>
        </w:tc>
      </w:tr>
      <w:tr>
        <w:trPr>
          <w:trHeight w:hRule="exact" w:val="222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K2 Transformation</w:t>
            </w:r>
          </w:p>
        </w:tc>
        <w:tc>
          <w:tcPr>
            <w:tcW w:type="dxa" w:w="2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20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J7 Ecosystem Maturity</w:t>
            </w:r>
          </w:p>
        </w:tc>
        <w:tc>
          <w:tcPr>
            <w:tcW w:type="dxa" w:w="4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77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 maturity ladder is two-axis:</w:t>
            </w:r>
          </w:p>
        </w:tc>
      </w:tr>
      <w:tr>
        <w:trPr>
          <w:trHeight w:hRule="exact" w:val="246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6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Readiness</w:t>
            </w:r>
          </w:p>
        </w:tc>
        <w:tc>
          <w:tcPr>
            <w:tcW w:type="dxa" w:w="3009"/>
            <w:vMerge/>
            <w:tcBorders/>
          </w:tcPr>
          <w:p/>
        </w:tc>
        <w:tc>
          <w:tcPr>
            <w:tcW w:type="dxa" w:w="42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77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provider RGAIG + caregiver-</w:t>
            </w:r>
          </w:p>
        </w:tc>
      </w:tr>
    </w:tbl>
    <w:p>
      <w:pPr>
        <w:autoSpaceDN w:val="0"/>
        <w:autoSpaceDE w:val="0"/>
        <w:widowControl/>
        <w:spacing w:line="228" w:lineRule="exact" w:before="0" w:after="32"/>
        <w:ind w:left="7036" w:right="1728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ecosystem; transformation readiness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0"/>
        </w:rPr>
        <w:t>advances both in mstep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3009"/>
        <w:gridCol w:w="3009"/>
        <w:gridCol w:w="3009"/>
      </w:tblGrid>
      <w:tr>
        <w:trPr>
          <w:trHeight w:hRule="exact" w:val="224"/>
        </w:trPr>
        <w:tc>
          <w:tcPr>
            <w:tcW w:type="dxa" w:w="1960"/>
            <w:vMerge w:val="restart"/>
            <w:tcBorders/>
            <w:shd w:fill="fcf0f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K3 Risk Governance</w:t>
            </w:r>
          </w:p>
        </w:tc>
        <w:tc>
          <w:tcPr>
            <w:tcW w:type="dxa" w:w="35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J2 Child Dignity; J8 Role Boundaries;</w:t>
            </w:r>
          </w:p>
        </w:tc>
        <w:tc>
          <w:tcPr>
            <w:tcW w:type="dxa" w:w="360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8" w:after="0"/>
              <w:ind w:left="11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Safety + dignity + boundaries +</w:t>
            </w:r>
          </w:p>
        </w:tc>
      </w:tr>
      <w:tr>
        <w:trPr>
          <w:trHeight w:hRule="exact" w:val="242"/>
        </w:trPr>
        <w:tc>
          <w:tcPr>
            <w:tcW w:type="dxa" w:w="3009"/>
            <w:vMerge/>
            <w:tcBorders/>
          </w:tcPr>
          <w:p/>
        </w:tc>
        <w:tc>
          <w:tcPr>
            <w:tcW w:type="dxa" w:w="3580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14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J9 Fairness</w:t>
            </w:r>
          </w:p>
        </w:tc>
        <w:tc>
          <w:tcPr>
            <w:tcW w:type="dxa" w:w="3606"/>
            <w:tcBorders/>
            <w:shd w:fill="fcf0f5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" w:after="0"/>
              <w:ind w:left="11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fairness compose to a defensible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36.0" w:type="dxa"/>
      </w:tblPr>
      <w:tblGrid>
        <w:gridCol w:w="3009"/>
        <w:gridCol w:w="3009"/>
        <w:gridCol w:w="3009"/>
      </w:tblGrid>
      <w:tr>
        <w:trPr>
          <w:trHeight w:hRule="exact" w:val="296"/>
        </w:trPr>
        <w:tc>
          <w:tcPr>
            <w:tcW w:type="dxa" w:w="1284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2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30"/>
            <w:tcBorders>
              <w:bottom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20" w:after="0"/>
              <w:ind w:left="69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safeguard surface</w:t>
            </w:r>
          </w:p>
        </w:tc>
      </w:tr>
      <w:tr>
        <w:trPr>
          <w:trHeight w:hRule="exact" w:val="304"/>
        </w:trPr>
        <w:tc>
          <w:tcPr>
            <w:tcW w:type="dxa" w:w="1284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Triad</w:t>
            </w:r>
          </w:p>
        </w:tc>
        <w:tc>
          <w:tcPr>
            <w:tcW w:type="dxa" w:w="362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0" w:after="0"/>
              <w:ind w:left="768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J10 Value Realization</w:t>
            </w:r>
          </w:p>
        </w:tc>
        <w:tc>
          <w:tcPr>
            <w:tcW w:type="dxa" w:w="4130"/>
            <w:tcBorders>
              <w:top w:sz="3.984800100326538" w:val="single" w:color="#0000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0" w:after="0"/>
              <w:ind w:left="696" w:right="0" w:firstLine="0"/>
              <w:jc w:val="left"/>
            </w:pPr>
            <w:r>
              <w:rPr>
                <w:rFonts w:ascii="LMRoman10" w:hAnsi="LMRoman10" w:eastAsia="LMRoman10"/>
                <w:b/>
                <w:i w:val="0"/>
                <w:color w:val="000000"/>
                <w:sz w:val="20"/>
              </w:rPr>
              <w:t>The triad’s joint output is the</w:t>
            </w:r>
          </w:p>
        </w:tc>
      </w:tr>
    </w:tbl>
    <w:p>
      <w:pPr>
        <w:autoSpaceDN w:val="0"/>
        <w:autoSpaceDE w:val="0"/>
        <w:widowControl/>
        <w:spacing w:line="198" w:lineRule="exact" w:before="20" w:after="0"/>
        <w:ind w:left="0" w:right="2060" w:firstLine="0"/>
        <w:jc w:val="right"/>
      </w:pPr>
      <w:r>
        <w:rPr>
          <w:rFonts w:ascii="LMRoman10" w:hAnsi="LMRoman10" w:eastAsia="LMRoman10"/>
          <w:b/>
          <w:i w:val="0"/>
          <w:color w:val="000000"/>
          <w:sz w:val="20"/>
        </w:rPr>
        <w:t>value-realization dashboard.</w:t>
      </w:r>
    </w:p>
    <w:p>
      <w:pPr>
        <w:autoSpaceDN w:val="0"/>
        <w:autoSpaceDE w:val="0"/>
        <w:widowControl/>
        <w:spacing w:line="276" w:lineRule="exact" w:before="16" w:after="0"/>
        <w:ind w:left="1440" w:right="1440" w:firstLine="0"/>
        <w:jc w:val="center"/>
      </w:pPr>
      <w:r>
        <w:rPr>
          <w:rFonts w:ascii="LMRoman10" w:hAnsi="LMRoman10" w:eastAsia="LMRoman10"/>
          <w:b w:val="0"/>
          <w:i/>
          <w:color w:val="000000"/>
          <w:sz w:val="20"/>
        </w:rPr>
        <w:t>Note.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 Appendix J and Appendix K are intentionally complementary, not duplicative. K provides the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 xml:space="preserve">B2B governance surface; J provides the B2C-perceptible signals. Without both, the governance </w:t>
      </w:r>
      <w:r>
        <w:rPr>
          <w:rFonts w:ascii="LMRoman10" w:hAnsi="LMRoman10" w:eastAsia="LMRoman10"/>
          <w:b w:val="0"/>
          <w:i w:val="0"/>
          <w:color w:val="000000"/>
          <w:sz w:val="20"/>
        </w:rPr>
        <w:t>investment is invisible at the family ecosystem layer.</w:t>
      </w:r>
    </w:p>
    <w:p>
      <w:pPr>
        <w:autoSpaceDN w:val="0"/>
        <w:autoSpaceDE w:val="0"/>
        <w:widowControl/>
        <w:spacing w:line="478" w:lineRule="exact" w:before="166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Closing positioning.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triad operationalises the B2B core of the dissertation (80–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85% weight) under three simultaneous operational stresses: transformation, risk,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trust protection. Appendix J operationalises the B2C support layer (15–20% weight).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Together, they answer the supervisor’s locked positioning: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 governance-enabled human-</w:t>
      </w:r>
      <w:r>
        <w:rPr>
          <w:rFonts w:ascii="LMRoman12" w:hAnsi="LMRoman12" w:eastAsia="LMRoman12"/>
          <w:b w:val="0"/>
          <w:i/>
          <w:color w:val="000000"/>
          <w:sz w:val="24"/>
        </w:rPr>
        <w:t>centred healthcare AI operationalisation supporting sustainable clinician trust, organi-</w:t>
      </w:r>
      <w:r>
        <w:rPr>
          <w:rFonts w:ascii="LMRoman12" w:hAnsi="LMRoman12" w:eastAsia="LMRoman12"/>
          <w:b w:val="0"/>
          <w:i/>
          <w:color w:val="000000"/>
          <w:sz w:val="24"/>
        </w:rPr>
        <w:t>sational readiness, and enterprise healthcare AI adoption.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The triad is the defensibility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surface; the ecosystem is the visibility surface; the dissertation’s empirical pilot (</w:t>
      </w:r>
      <w:r>
        <w:rPr>
          <w:rFonts w:ascii="LMMathItalic12" w:hAnsi="LMMathItalic12" w:eastAsia="LMMathItalic12"/>
          <w:b w:val="0"/>
          <w:i/>
          <w:color w:val="000000"/>
          <w:sz w:val="24"/>
        </w:rPr>
        <w:t>𝑛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= 131)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measures one axis (clinician trust + adoption) of the triad, with the remaining axes spec-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ified as the defensible operational extension.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718" w:after="0"/>
        <w:ind w:left="0" w:right="14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735</w:t>
      </w:r>
    </w:p>
    <w:p>
      <w:pPr>
        <w:autoSpaceDN w:val="0"/>
        <w:autoSpaceDE w:val="0"/>
        <w:widowControl/>
        <w:spacing w:line="240" w:lineRule="exact" w:before="682" w:after="0"/>
        <w:ind w:left="1440" w:right="0" w:firstLine="0"/>
        <w:jc w:val="left"/>
      </w:pPr>
      <w:r>
        <w:rPr>
          <w:rFonts w:ascii="LMRoman12" w:hAnsi="LMRoman12" w:eastAsia="LMRoman12"/>
          <w:b/>
          <w:i w:val="0"/>
          <w:color w:val="000080"/>
          <w:sz w:val="24"/>
        </w:rPr>
        <w:t>Appendix K Closing</w:t>
      </w:r>
    </w:p>
    <w:p>
      <w:pPr>
        <w:autoSpaceDN w:val="0"/>
        <w:tabs>
          <w:tab w:pos="7380" w:val="left"/>
        </w:tabs>
        <w:autoSpaceDE w:val="0"/>
        <w:widowControl/>
        <w:spacing w:line="478" w:lineRule="exact" w:before="154" w:after="0"/>
        <w:ind w:left="1440" w:right="144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What Appendix K adds.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Three operational-governance axes specified at the same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depth as the empirical core, with eight dimensions per axis, sample survey items, weak-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vs-strong governance heatmaps, and maturity ladders.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triad reinforces the B2B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dominance of the dissertation while leaving the B2C ecosystem appendix (J) intact 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supporting context.</w:t>
      </w:r>
    </w:p>
    <w:p>
      <w:pPr>
        <w:autoSpaceDN w:val="0"/>
        <w:autoSpaceDE w:val="0"/>
        <w:widowControl/>
        <w:spacing w:line="478" w:lineRule="exact" w:before="0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What Appendix K does not do.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It does not expand the empirical pilot. It does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add new hypotheses. It does not propose new instruments without psychometric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validation. It is a defensibility extension, not an empirical extension.</w:t>
      </w:r>
    </w:p>
    <w:p>
      <w:pPr>
        <w:autoSpaceDN w:val="0"/>
        <w:autoSpaceDE w:val="0"/>
        <w:widowControl/>
        <w:spacing w:line="478" w:lineRule="exact" w:before="2" w:after="0"/>
        <w:ind w:left="1440" w:right="1440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Reviewer position.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If a reviewer asks “does this dissertation defend governance under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transformation, risk, and trust stress simultaneously?” the candidate answers: “yes 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Appendix K, three operational axes plus integration, each pinned to eight measurable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dimensions, jointly required by the triad-failure-mode analysis.”</w:t>
      </w:r>
    </w:p>
    <w:p>
      <w:pPr>
        <w:sectPr>
          <w:pgSz w:w="11906" w:h="16838"/>
          <w:pgMar w:top="0" w:right="0" w:bottom="0" w:left="0" w:header="720" w:footer="720" w:gutter="0"/>
          <w:cols/>
          <w:docGrid w:linePitch="360"/>
        </w:sectPr>
      </w:pPr>
    </w:p>
    <w:sectPr w:rsidR="00FC693F" w:rsidRPr="0006063C" w:rsidSect="00034616">
      <w:pgSz w:w="11906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