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96" w:lineRule="exact" w:before="732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Appendix J</w:t>
      </w:r>
    </w:p>
    <w:p>
      <w:pPr>
        <w:autoSpaceDN w:val="0"/>
        <w:autoSpaceDE w:val="0"/>
        <w:widowControl/>
        <w:spacing w:line="496" w:lineRule="exact" w:before="77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Human-Centered B2B+B2C</w:t>
      </w:r>
    </w:p>
    <w:p>
      <w:pPr>
        <w:autoSpaceDN w:val="0"/>
        <w:autoSpaceDE w:val="0"/>
        <w:widowControl/>
        <w:spacing w:line="496" w:lineRule="exact" w:before="49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Ecosystem Governance</w:t>
      </w: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>(Dignity, Maturity, Fairness, Value)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711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Appendix J Framing: Why a Unified Human-Centered Ecosystem Appendix</w:t>
      </w:r>
    </w:p>
    <w:p>
      <w:pPr>
        <w:autoSpaceDN w:val="0"/>
        <w:autoSpaceDE w:val="0"/>
        <w:widowControl/>
        <w:spacing w:line="478" w:lineRule="exact" w:before="236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What this appendix is.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consolidated ecosystem-governance specification for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B2B (provider organisation) and B2C (clinician, caregiver, child, family) sides of AI-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assisted ASD-EEG screening, with the supervisor’s TOP-5 cross-cutting threads — child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dignity, ecosystem maturity, role boundaries, fairness governance, and value realization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 threaded through every section.</w:t>
      </w:r>
    </w:p>
    <w:p>
      <w:pPr>
        <w:autoSpaceDN w:val="0"/>
        <w:autoSpaceDE w:val="0"/>
        <w:widowControl/>
        <w:spacing w:line="478" w:lineRule="exact" w:before="2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What this appendix is not.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It is not a sixth empirical study. It is not a procure-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 document. It is not a product specification. It is the human-centred ecosystem-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governance layer that operationalises the four-box causal chain (Governance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ability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Trust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Adoption) beyond the immediate clinician dyad to include caregivers,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families, children, and the organisational ecosystem in which trust must be sustained over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time.</w:t>
      </w:r>
    </w:p>
    <w:p>
      <w:pPr>
        <w:autoSpaceDN w:val="0"/>
        <w:tabs>
          <w:tab w:pos="1726" w:val="left"/>
        </w:tabs>
        <w:autoSpaceDE w:val="0"/>
        <w:widowControl/>
        <w:spacing w:line="478" w:lineRule="exact" w:before="2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Inclusion test (the J Rule).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Every subsection in Appendix J must satisfy two ques-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tions: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 Does it strengthen Governance, Explainability, Trust, or Adoption?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286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 Does it identify a specific human beneficiary — clinician, caregiver, child, or family?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subsection that cannot answer both is excluded. This rule is auditable: each section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 is annotated with the box(es) and beneficiary it serves.</w:t>
      </w:r>
    </w:p>
    <w:p>
      <w:pPr>
        <w:autoSpaceDN w:val="0"/>
        <w:autoSpaceDE w:val="0"/>
        <w:widowControl/>
        <w:spacing w:line="238" w:lineRule="exact" w:before="56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J1. Unified B2B+B2C Governance Orchestration Framework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Boxes served: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Governance, Trust, Adoption.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Beneficiaries: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provider organisation (B2B),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clinician + caregiver + child (B2C).</w:t>
      </w:r>
    </w:p>
    <w:p>
      <w:pPr>
        <w:autoSpaceDN w:val="0"/>
        <w:autoSpaceDE w:val="0"/>
        <w:widowControl/>
        <w:spacing w:line="478" w:lineRule="exact" w:before="2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The orchestration problem.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Most AI-assisted clinical screening systems are designed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a B2B product (sold to a hospital, configured by IT, deployed for clinicians)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caregivers and children treated as data sources or end-users-by-default. This dissertation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argues that for paediatric ASD-EEG screening, the B2B and B2C layers must be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jointly </w:t>
      </w:r>
      <w:r>
        <w:rPr>
          <w:rFonts w:ascii="LMRoman12" w:hAnsi="LMRoman12" w:eastAsia="LMRoman12"/>
          <w:b w:val="0"/>
          <w:i/>
          <w:color w:val="000000"/>
          <w:sz w:val="24"/>
        </w:rPr>
        <w:t>orchestrated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: governance controls operating at the provider level (audit, drift, registry,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rollback) must be visible and consequential to the family level (caregiver consent records,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child dignity safeguards, longitudinal trust signals), and vice versa.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712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5.183.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Unified B2B+B2C Governance Orchestration. Each governance control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paired with a B2B operational responsibility (the organisation must enforce it) and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B2C visible signal (the family must be able to perceive that it is in force).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08"/>
        </w:trPr>
        <w:tc>
          <w:tcPr>
            <w:tcW w:type="dxa" w:w="1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8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B2B responsibility (organisation)</w:t>
            </w:r>
          </w:p>
        </w:tc>
        <w:tc>
          <w:tcPr>
            <w:tcW w:type="dxa" w:w="372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B2C visible signal (family)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16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control</w:t>
            </w:r>
          </w:p>
        </w:tc>
        <w:tc>
          <w:tcPr>
            <w:tcW w:type="dxa" w:w="36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8"/>
        </w:trPr>
        <w:tc>
          <w:tcPr>
            <w:tcW w:type="dxa" w:w="16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audit</w:t>
            </w:r>
          </w:p>
        </w:tc>
        <w:tc>
          <w:tcPr>
            <w:tcW w:type="dxa" w:w="3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Per-decision immutable trail; SOC2</w:t>
            </w:r>
          </w:p>
        </w:tc>
        <w:tc>
          <w:tcPr>
            <w:tcW w:type="dxa" w:w="375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Caregiver-readable summary of what the</w:t>
            </w:r>
          </w:p>
        </w:tc>
      </w:tr>
      <w:tr>
        <w:trPr>
          <w:trHeight w:hRule="exact" w:val="280"/>
        </w:trPr>
        <w:tc>
          <w:tcPr>
            <w:tcW w:type="dxa" w:w="164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log</w:t>
            </w:r>
          </w:p>
        </w:tc>
        <w:tc>
          <w:tcPr>
            <w:tcW w:type="dxa" w:w="3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retention; weekly review</w:t>
            </w:r>
          </w:p>
        </w:tc>
        <w:tc>
          <w:tcPr>
            <w:tcW w:type="dxa" w:w="375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saw and what the clinician decided</w:t>
            </w:r>
          </w:p>
        </w:tc>
      </w:tr>
      <w:tr>
        <w:trPr>
          <w:trHeight w:hRule="exact" w:val="200"/>
        </w:trPr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Model registry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 pinning; tested rollback path;</w:t>
            </w:r>
          </w:p>
        </w:tc>
        <w:tc>
          <w:tcPr>
            <w:tcW w:type="dxa" w:w="3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Plain-language statement that the</w:t>
            </w:r>
          </w:p>
        </w:tc>
      </w:tr>
      <w:tr>
        <w:trPr>
          <w:trHeight w:hRule="exact" w:val="268"/>
        </w:trPr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+ rollback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 approvals</w:t>
            </w:r>
          </w:p>
        </w:tc>
        <w:tc>
          <w:tcPr>
            <w:tcW w:type="dxa" w:w="3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 used today is the version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26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validated for paediatric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78"/>
        </w:trPr>
        <w:tc>
          <w:tcPr>
            <w:tcW w:type="dxa" w:w="5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20"/>
            </w:tblGrid>
            <w:tr>
              <w:trPr>
                <w:trHeight w:hRule="exact" w:val="230"/>
              </w:trPr>
              <w:tc>
                <w:tcPr>
                  <w:tcW w:type="dxa" w:w="50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Drift monitoring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 xml:space="preserve"> Monthly recalibration; sub-group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0.0" w:type="dxa"/>
            </w:tblPr>
            <w:tblGrid>
              <w:gridCol w:w="5320"/>
            </w:tblGrid>
            <w:tr>
              <w:trPr>
                <w:trHeight w:hRule="exact" w:val="212"/>
              </w:trPr>
              <w:tc>
                <w:tcPr>
                  <w:tcW w:type="dxa" w:w="37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8" w:after="0"/>
                    <w:ind w:left="0" w:right="660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performance dashboards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Notification when the system has been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re-validated; no silent change</w:t>
            </w:r>
          </w:p>
        </w:tc>
      </w:tr>
      <w:tr>
        <w:trPr>
          <w:trHeight w:hRule="exact" w:val="224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Bias / fairness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Pre-deploy fairness pass; quarterly</w:t>
            </w:r>
          </w:p>
        </w:tc>
        <w:tc>
          <w:tcPr>
            <w:tcW w:type="dxa" w:w="3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Caregiver-visible note that fairness has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been tested across age, sex, ethnicity</w:t>
            </w:r>
          </w:p>
        </w:tc>
      </w:tr>
      <w:tr>
        <w:trPr>
          <w:trHeight w:hRule="exact" w:val="254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gate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 re-test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HITL authority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580"/>
            </w:tblGrid>
            <w:tr>
              <w:trPr>
                <w:trHeight w:hRule="exact" w:val="198"/>
              </w:trPr>
              <w:tc>
                <w:tcPr>
                  <w:tcW w:type="dxa" w:w="34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Clinician override is real, logged, and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Caregiver knows the clinician, not the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AI, signed the decision</w:t>
            </w:r>
          </w:p>
        </w:tc>
      </w:tr>
      <w:tr>
        <w:trPr>
          <w:trHeight w:hRule="exact" w:val="252"/>
        </w:trPr>
        <w:tc>
          <w:tcPr>
            <w:tcW w:type="dxa" w:w="5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14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never overridden by AI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5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0" w:val="left"/>
              </w:tabs>
              <w:autoSpaceDE w:val="0"/>
              <w:widowControl/>
              <w:spacing w:line="224" w:lineRule="exact" w:before="0" w:after="0"/>
              <w:ind w:left="60" w:right="14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Consent + scope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Tenanted consent records; revocation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honoured within 24h</w:t>
            </w: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Caregiver dashboard showing what data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was used, by whom, when, and how to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0" w:right="41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withdraw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190"/>
        </w:trPr>
        <w:tc>
          <w:tcPr>
            <w:tcW w:type="dxa" w:w="1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3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SHAP, citations, counterfactual stored</w:t>
            </w:r>
          </w:p>
        </w:tc>
        <w:tc>
          <w:tcPr>
            <w:tcW w:type="dxa" w:w="37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Family-language explanation of the top</w:t>
            </w:r>
          </w:p>
        </w:tc>
      </w:tr>
      <w:tr>
        <w:trPr>
          <w:trHeight w:hRule="exact" w:val="288"/>
        </w:trPr>
        <w:tc>
          <w:tcPr>
            <w:tcW w:type="dxa" w:w="1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surface</w:t>
            </w:r>
          </w:p>
        </w:tc>
        <w:tc>
          <w:tcPr>
            <w:tcW w:type="dxa" w:w="3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decision</w:t>
            </w:r>
          </w:p>
        </w:tc>
        <w:tc>
          <w:tcPr>
            <w:tcW w:type="dxa" w:w="37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factors (not raw SHAP)</w:t>
            </w:r>
          </w:p>
        </w:tc>
      </w:tr>
      <w:tr>
        <w:trPr>
          <w:trHeight w:hRule="exact" w:val="19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Incident +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Runbook, on-call, post-incident review</w:t>
            </w:r>
          </w:p>
        </w:tc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 is informed of any incident</w:t>
            </w:r>
          </w:p>
        </w:tc>
      </w:tr>
      <w:tr>
        <w:trPr>
          <w:trHeight w:hRule="exact" w:val="30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escalation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affecting their child’s record</w:t>
            </w:r>
          </w:p>
        </w:tc>
      </w:tr>
    </w:tbl>
    <w:p>
      <w:pPr>
        <w:autoSpaceDN w:val="0"/>
        <w:autoSpaceDE w:val="0"/>
        <w:widowControl/>
        <w:spacing w:line="202" w:lineRule="exact" w:before="4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orchestration is symmetric: every B2B obligation has a B2C visible-signal partner. The rule</w:t>
      </w:r>
    </w:p>
    <w:p>
      <w:pPr>
        <w:autoSpaceDN w:val="0"/>
        <w:autoSpaceDE w:val="0"/>
        <w:widowControl/>
        <w:spacing w:line="238" w:lineRule="exact" w:before="78" w:after="0"/>
        <w:ind w:left="1584" w:right="1584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is auditable — if a B2B control is in place but no B2C signal exists, the ecosystem governance 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incomplete.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939800</wp:posOffset>
            </wp:positionV>
            <wp:extent cx="2616200" cy="2311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31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62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23"/>
        <w:gridCol w:w="4523"/>
      </w:tblGrid>
      <w:tr>
        <w:trPr>
          <w:trHeight w:hRule="exact" w:val="682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6" w:after="0"/>
              <w:ind w:left="144" w:right="1152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B2B orchestration layer </w:t>
            </w:r>
            <w:r>
              <w:br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Provider organisation: audit, registry, drift, rollback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94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5130800</wp:posOffset>
                  </wp:positionH>
                  <wp:positionV relativeFrom="page">
                    <wp:posOffset>1117600</wp:posOffset>
                  </wp:positionV>
                  <wp:extent cx="317500" cy="2921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292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826"/>
        <w:ind w:left="0" w:right="0"/>
      </w:pP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576" w:right="1584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Mediating governance contracts </w:t>
      </w:r>
      <w:r>
        <w:br/>
      </w:r>
      <w:r>
        <w:rPr>
          <w:rFonts w:ascii="LMRoman8" w:hAnsi="LMRoman8" w:eastAsia="LMRoman8"/>
          <w:b w:val="0"/>
          <w:i w:val="0"/>
          <w:color w:val="000000"/>
          <w:sz w:val="16"/>
        </w:rPr>
        <w:t>Consent, scope, fairness gates, HITL authority</w:t>
      </w:r>
    </w:p>
    <w:p>
      <w:pPr>
        <w:autoSpaceDN w:val="0"/>
        <w:autoSpaceDE w:val="0"/>
        <w:widowControl/>
        <w:spacing w:line="262" w:lineRule="exact" w:before="946" w:after="0"/>
        <w:ind w:left="576" w:right="1584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B2C ecosystem layer </w:t>
      </w:r>
      <w:r>
        <w:br/>
      </w:r>
      <w:r>
        <w:rPr>
          <w:rFonts w:ascii="LMRoman8" w:hAnsi="LMRoman8" w:eastAsia="LMRoman8"/>
          <w:b w:val="0"/>
          <w:i w:val="0"/>
          <w:color w:val="000000"/>
          <w:sz w:val="16"/>
        </w:rPr>
        <w:t>Clinician + caregiver + child + family signals</w:t>
      </w:r>
    </w:p>
    <w:p>
      <w:pPr>
        <w:sectPr>
          <w:type w:val="continuous"/>
          <w:pgSz w:w="11906" w:h="16838"/>
          <w:pgMar w:top="358" w:right="1420" w:bottom="1440" w:left="1440" w:header="720" w:footer="720" w:gutter="0"/>
          <w:cols w:num="2" w:equalWidth="0">
            <w:col w:w="5676" w:space="0"/>
            <w:col w:w="3369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1718"/>
        <w:ind w:left="1610" w:right="288" w:firstLine="0"/>
        <w:jc w:val="left"/>
      </w:pPr>
      <w:r>
        <w:rPr>
          <w:rFonts w:ascii="LMRoman8" w:hAnsi="LMRoman8" w:eastAsia="LMRoman8"/>
          <w:b w:val="0"/>
          <w:i w:val="0"/>
          <w:color w:val="000080"/>
          <w:sz w:val="16"/>
        </w:rPr>
        <w:t xml:space="preserve">Feedback: </w:t>
      </w:r>
      <w:r>
        <w:br/>
      </w:r>
      <w:r>
        <w:rPr>
          <w:rFonts w:ascii="LMRoman8" w:hAnsi="LMRoman8" w:eastAsia="LMRoman8"/>
          <w:b w:val="0"/>
          <w:i w:val="0"/>
          <w:color w:val="000080"/>
          <w:sz w:val="16"/>
        </w:rPr>
        <w:t xml:space="preserve">caregiver concerns </w:t>
      </w:r>
      <w:r>
        <w:br/>
      </w:r>
      <w:r>
        <w:rPr>
          <w:rFonts w:ascii="LMRoman8" w:hAnsi="LMRoman8" w:eastAsia="LMRoman8"/>
          <w:b w:val="0"/>
          <w:i w:val="0"/>
          <w:color w:val="000080"/>
          <w:sz w:val="16"/>
        </w:rPr>
        <w:t>flow upward</w:t>
      </w:r>
    </w:p>
    <w:p>
      <w:pPr>
        <w:sectPr>
          <w:type w:val="nextColumn"/>
          <w:pgSz w:w="11906" w:h="16838"/>
          <w:pgMar w:top="358" w:right="1420" w:bottom="1440" w:left="1440" w:header="720" w:footer="720" w:gutter="0"/>
          <w:cols w:num="2" w:equalWidth="0">
            <w:col w:w="5676" w:space="0"/>
            <w:col w:w="3369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Unified B2B+B2C orchestration. Governance contracts in the middle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layer make the provider-organisation controls (top) visible and meaningful to the family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ecosystem (bottom). The dashed feedback edge ensures upward flow: caregiver concerns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reach governance, not just downstream.</w:t>
      </w:r>
    </w:p>
    <w:p>
      <w:pPr>
        <w:autoSpaceDN w:val="0"/>
        <w:tabs>
          <w:tab w:pos="1518" w:val="left"/>
        </w:tabs>
        <w:autoSpaceDE w:val="0"/>
        <w:widowControl/>
        <w:spacing w:line="478" w:lineRule="exact" w:before="42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Limitation.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orchestration framework is conceptual; empirical validation of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feedback loop (caregiver concern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governance action) is future work. The orchestration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is, however, defensible as a normative model derived from socio-technical systems theory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(Cherns, 1976) and trust-in-automation (Lee &amp; See, 2004).</w:t>
      </w:r>
    </w:p>
    <w:p>
      <w:pPr>
        <w:autoSpaceDN w:val="0"/>
        <w:autoSpaceDE w:val="0"/>
        <w:widowControl/>
        <w:spacing w:line="240" w:lineRule="exact" w:before="57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J2. Child Dignity &amp; Child-Centric Safeguards</w:t>
      </w:r>
    </w:p>
    <w:p>
      <w:pPr>
        <w:autoSpaceDN w:val="0"/>
        <w:autoSpaceDE w:val="0"/>
        <w:widowControl/>
        <w:spacing w:line="240" w:lineRule="exact" w:before="392" w:after="0"/>
        <w:ind w:left="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Boxes served: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Governance, Trust.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Beneficiaries: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child, caregiver.</w:t>
      </w:r>
    </w:p>
    <w:p>
      <w:pPr>
        <w:autoSpaceDN w:val="0"/>
        <w:autoSpaceDE w:val="0"/>
        <w:widowControl/>
        <w:spacing w:line="478" w:lineRule="exact" w:before="0" w:after="0"/>
        <w:ind w:left="0" w:right="2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The dignity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paediatric ASD-EEG screening system handles data from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children who cannot themselves consent and whose developmental trajectory may 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shaped by the labels the system contributes to producing. Dignity is not a soft concern;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is a governance constraint with operational consequences.</w:t>
      </w:r>
    </w:p>
    <w:p>
      <w:pPr>
        <w:sectPr>
          <w:type w:val="continuous"/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714</w:t>
      </w:r>
    </w:p>
    <w:p>
      <w:pPr>
        <w:autoSpaceDN w:val="0"/>
        <w:autoSpaceDE w:val="0"/>
        <w:widowControl/>
        <w:spacing w:line="288" w:lineRule="exact" w:before="620" w:after="194"/>
        <w:ind w:left="1440" w:right="216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5.184.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Child Dignity Safeguards. Each safeguard is operationalised as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governance control with a specific consequence if violated.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9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Dignity dimension</w:t>
            </w:r>
          </w:p>
        </w:tc>
        <w:tc>
          <w:tcPr>
            <w:tcW w:type="dxa" w:w="368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 safeguard</w:t>
            </w:r>
          </w:p>
        </w:tc>
        <w:tc>
          <w:tcPr>
            <w:tcW w:type="dxa" w:w="340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54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Consequence if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18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violated</w:t>
            </w:r>
          </w:p>
        </w:tc>
      </w:tr>
      <w:tr>
        <w:trPr>
          <w:trHeight w:hRule="exact" w:val="278"/>
        </w:trPr>
        <w:tc>
          <w:tcPr>
            <w:tcW w:type="dxa" w:w="18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No labelling</w:t>
            </w:r>
          </w:p>
        </w:tc>
        <w:tc>
          <w:tcPr>
            <w:tcW w:type="dxa" w:w="5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never returns “ASD” as a label directly to families;</w:t>
            </w:r>
          </w:p>
        </w:tc>
        <w:tc>
          <w:tcPr>
            <w:tcW w:type="dxa" w:w="215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Block: family-facing UI</w:t>
            </w:r>
          </w:p>
        </w:tc>
      </w:tr>
      <w:tr>
        <w:trPr>
          <w:trHeight w:hRule="exact" w:val="262"/>
        </w:trPr>
        <w:tc>
          <w:tcPr>
            <w:tcW w:type="dxa" w:w="186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without clinician</w:t>
            </w:r>
          </w:p>
        </w:tc>
        <w:tc>
          <w:tcPr>
            <w:tcW w:type="dxa" w:w="5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 a clinician assigns and communicates a diagnosis</w:t>
            </w:r>
          </w:p>
        </w:tc>
        <w:tc>
          <w:tcPr>
            <w:tcW w:type="dxa" w:w="215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cannot render an AI-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18"/>
        </w:trPr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Non-permanence</w:t>
            </w:r>
          </w:p>
        </w:tc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 screening output is a moment-in-time signal, not a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 label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failure: family-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developmental destiny; documented in family-facing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facing text must</w:t>
            </w:r>
          </w:p>
        </w:tc>
      </w:tr>
      <w:tr>
        <w:trPr>
          <w:trHeight w:hRule="exact" w:val="256"/>
        </w:trPr>
        <w:tc>
          <w:tcPr>
            <w:tcW w:type="dxa" w:w="3009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copy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include non-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0" w:right="15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permanence statement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192"/>
        </w:trPr>
        <w:tc>
          <w:tcPr>
            <w:tcW w:type="dxa" w:w="1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Minimum-</w:t>
            </w:r>
          </w:p>
        </w:tc>
        <w:tc>
          <w:tcPr>
            <w:tcW w:type="dxa" w:w="5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 EEG channels required for screening are</w:t>
            </w:r>
          </w:p>
        </w:tc>
        <w:tc>
          <w:tcPr>
            <w:tcW w:type="dxa" w:w="22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review block</w:t>
            </w:r>
          </w:p>
        </w:tc>
      </w:tr>
      <w:tr>
        <w:trPr>
          <w:trHeight w:hRule="exact" w:val="286"/>
        </w:trPr>
        <w:tc>
          <w:tcPr>
            <w:tcW w:type="dxa" w:w="1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necessary data</w:t>
            </w:r>
          </w:p>
        </w:tc>
        <w:tc>
          <w:tcPr>
            <w:tcW w:type="dxa" w:w="5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processed; demographic data is access-controlled</w:t>
            </w:r>
          </w:p>
        </w:tc>
        <w:tc>
          <w:tcPr>
            <w:tcW w:type="dxa" w:w="22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before deploy</w:t>
            </w:r>
          </w:p>
        </w:tc>
      </w:tr>
      <w:tr>
        <w:trPr>
          <w:trHeight w:hRule="exact" w:val="19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No re-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signal de-identification verified; no longitudinal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Tenant isolation</w:t>
            </w:r>
          </w:p>
        </w:tc>
      </w:tr>
      <w:tr>
        <w:trPr>
          <w:trHeight w:hRule="exact" w:val="27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identification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 without explicit consent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enforced (§41 multi-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0"/>
        <w:ind w:left="0" w:right="213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tenancy policy)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198"/>
        </w:trPr>
        <w:tc>
          <w:tcPr>
            <w:tcW w:type="dxa" w:w="1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Right to be</w:t>
            </w:r>
          </w:p>
        </w:tc>
        <w:tc>
          <w:tcPr>
            <w:tcW w:type="dxa" w:w="5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Caregiver-initiated deletion honoured within 30 days;</w:t>
            </w:r>
          </w:p>
        </w:tc>
        <w:tc>
          <w:tcPr>
            <w:tcW w:type="dxa" w:w="22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escalation</w:t>
            </w:r>
          </w:p>
        </w:tc>
      </w:tr>
      <w:tr>
        <w:trPr>
          <w:trHeight w:hRule="exact" w:val="282"/>
        </w:trPr>
        <w:tc>
          <w:tcPr>
            <w:tcW w:type="dxa" w:w="1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forgotten</w:t>
            </w:r>
          </w:p>
        </w:tc>
        <w:tc>
          <w:tcPr>
            <w:tcW w:type="dxa" w:w="5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log retained with hash only</w:t>
            </w:r>
          </w:p>
        </w:tc>
        <w:tc>
          <w:tcPr>
            <w:tcW w:type="dxa" w:w="22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deletion not actioned</w:t>
            </w:r>
          </w:p>
        </w:tc>
      </w:tr>
      <w:tr>
        <w:trPr>
          <w:trHeight w:hRule="exact" w:val="19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Voice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Where age and capacity permit, child is informed in</w:t>
            </w:r>
          </w:p>
        </w:tc>
        <w:tc>
          <w:tcPr>
            <w:tcW w:type="dxa" w:w="2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Required as part of</w:t>
            </w:r>
          </w:p>
        </w:tc>
      </w:tr>
      <w:tr>
        <w:trPr>
          <w:trHeight w:hRule="exact" w:val="27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(developmental-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age-appropriate language about EEG procedure</w:t>
            </w:r>
          </w:p>
        </w:tc>
        <w:tc>
          <w:tcPr>
            <w:tcW w:type="dxa" w:w="2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 workflow</w:t>
            </w:r>
          </w:p>
        </w:tc>
      </w:tr>
    </w:tbl>
    <w:p>
      <w:pPr>
        <w:autoSpaceDN w:val="0"/>
        <w:tabs>
          <w:tab w:pos="1474" w:val="left"/>
          <w:tab w:pos="1598" w:val="left"/>
          <w:tab w:pos="5750" w:val="left"/>
        </w:tabs>
        <w:autoSpaceDE w:val="0"/>
        <w:widowControl/>
        <w:spacing w:line="270" w:lineRule="exact" w:before="0" w:after="0"/>
        <w:ind w:left="1440" w:right="144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stage appropriate)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safeguard maps to either a system-level enforcement (block, audit failure, tenant isolation)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or a procedural enforcement (consent workflow). Dignity is governance-enforceable, not aspirational </w:t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text.</w:t>
      </w:r>
    </w:p>
    <w:p>
      <w:pPr>
        <w:autoSpaceDN w:val="0"/>
        <w:autoSpaceDE w:val="0"/>
        <w:widowControl/>
        <w:spacing w:line="478" w:lineRule="exact" w:before="126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dignity framework draws on the UN Convention on the Rights of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Child (Article 12: right to be heard) and existing paediatric clinical-research ethics.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dissertation does not propose new bioethical principles; it operationalises established ones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 governance controls.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J3. Accessibility &amp; Inclusive Caregiver Support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Boxes served: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Explainability, Trust, Adoption.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Beneficiaries: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caregiver, family.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The accessibility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caregiver who cannot read, hear, or interact with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screening result on equal terms is excluded from the trust relationship, regardless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how well-engineered the underlying model is. Accessibility is therefore an explainability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constraint, not a frontend afterthought.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715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5.185.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Accessibility Operationalisation. Each accessibility dimension is mapped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an explainability or adoption mechanism, with a WCAG 2.1 AA / Section 508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 where applicable.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4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61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Operationalisation</w:t>
            </w:r>
          </w:p>
        </w:tc>
        <w:tc>
          <w:tcPr>
            <w:tcW w:type="dxa" w:w="14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Standard</w:t>
            </w:r>
          </w:p>
        </w:tc>
      </w:tr>
      <w:tr>
        <w:trPr>
          <w:trHeight w:hRule="exact" w:val="300"/>
        </w:trPr>
        <w:tc>
          <w:tcPr>
            <w:tcW w:type="dxa" w:w="14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Visual</w:t>
            </w:r>
          </w:p>
        </w:tc>
        <w:tc>
          <w:tcPr>
            <w:tcW w:type="dxa" w:w="6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High-contrast (4.5:1+), no colour-only signalling, text resize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</w:p>
        </w:tc>
        <w:tc>
          <w:tcPr>
            <w:tcW w:type="dxa" w:w="1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WCAG 1.4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200%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Auditory</w:t>
            </w:r>
          </w:p>
        </w:tc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Audio explanation of screening result; captions for any video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WCAG 1.2</w:t>
            </w:r>
          </w:p>
        </w:tc>
      </w:tr>
      <w:tr>
        <w:trPr>
          <w:trHeight w:hRule="exact" w:val="200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Cognitive</w:t>
            </w:r>
          </w:p>
        </w:tc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160"/>
            </w:tblGrid>
            <w:tr>
              <w:trPr>
                <w:trHeight w:hRule="exact" w:val="184"/>
              </w:trPr>
              <w:tc>
                <w:tcPr>
                  <w:tcW w:type="dxa" w:w="57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Plain-language version at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 xml:space="preserve"> ≤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Grade 8 reading level; visual icon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WCAG 3.1.5</w:t>
            </w:r>
          </w:p>
        </w:tc>
      </w:tr>
      <w:tr>
        <w:trPr>
          <w:trHeight w:hRule="exact" w:val="278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(literacy)</w:t>
            </w:r>
          </w:p>
        </w:tc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glossary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Cognitive</w:t>
            </w:r>
          </w:p>
        </w:tc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shown as “low / medium / high” not raw probability</w:t>
            </w:r>
          </w:p>
        </w:tc>
        <w:tc>
          <w:tcPr>
            <w:tcW w:type="dxa" w:w="14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278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(numeracy)</w:t>
            </w:r>
          </w:p>
        </w:tc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non-numerate caregivers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Motor</w:t>
            </w:r>
          </w:p>
        </w:tc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Keyboard navigation; no time-out on consent screens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WCAG 2.1,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63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3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2.2</w:t>
            </w:r>
          </w:p>
        </w:tc>
      </w:tr>
      <w:tr>
        <w:trPr>
          <w:trHeight w:hRule="exact" w:val="22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Language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Translation available for the top-5 caregiver languages in the</w:t>
            </w:r>
          </w:p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731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catchment area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1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Low-bandwidth</w:t>
            </w:r>
          </w:p>
        </w:tc>
        <w:tc>
          <w:tcPr>
            <w:tcW w:type="dxa" w:w="5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Text-only fallback for caregivers on low-connectivity links</w:t>
            </w:r>
          </w:p>
        </w:tc>
        <w:tc>
          <w:tcPr>
            <w:tcW w:type="dxa" w:w="1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5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23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Caregiver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In-clinic patient navigator available to walk through results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</w:t>
            </w:r>
          </w:p>
        </w:tc>
      </w:tr>
    </w:tbl>
    <w:p>
      <w:pPr>
        <w:autoSpaceDN w:val="0"/>
        <w:tabs>
          <w:tab w:pos="1526" w:val="left"/>
          <w:tab w:pos="3646" w:val="left"/>
        </w:tabs>
        <w:autoSpaceDE w:val="0"/>
        <w:widowControl/>
        <w:spacing w:line="276" w:lineRule="exact" w:before="0" w:after="0"/>
        <w:ind w:left="1440" w:right="144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support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Accessibility is treated as a precondition for informed trust, not a polish task. A caregiver who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cannot access the explanation cannot calibrate trust.</w:t>
      </w:r>
    </w:p>
    <w:p>
      <w:pPr>
        <w:autoSpaceDN w:val="0"/>
        <w:autoSpaceDE w:val="0"/>
        <w:widowControl/>
        <w:spacing w:line="478" w:lineRule="exact" w:before="164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accessibility specification is normative; the empirical study did not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 accessibility outcomes per se. Future work should pilot the family-facing UI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caregivers across the WCAG dimensions.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J4. Cultural Sensitivity &amp; Respectful Caregiver Interaction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Boxes served: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Trust, Adoption.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Beneficiaries: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caregiver, family.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The cultural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ASD is interpreted differently across cultures: some commu-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nities frame neurodevelopmental difference as a clinical condition requiring intervention;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others frame it as identity, social variation, or spiritual significance. A trust ecosystem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indifferent to these frames forces a clinical vocabulary on families for whom it is alien,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trust collapses.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716</w:t>
      </w:r>
    </w:p>
    <w:p>
      <w:pPr>
        <w:autoSpaceDN w:val="0"/>
        <w:autoSpaceDE w:val="0"/>
        <w:widowControl/>
        <w:spacing w:line="288" w:lineRule="exact" w:before="620" w:after="194"/>
        <w:ind w:left="1440" w:right="201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5.186.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Cultural Sensitivity Operationalisation. Each cultural dimension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mapped to a specific interaction design rule grounded in cross-cultural healthcare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communication literature.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08"/>
        </w:trPr>
        <w:tc>
          <w:tcPr>
            <w:tcW w:type="dxa" w:w="13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Cultural</w:t>
            </w:r>
          </w:p>
        </w:tc>
        <w:tc>
          <w:tcPr>
            <w:tcW w:type="dxa" w:w="76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5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Operationalisation in clinician + caregiver workflow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96"/>
        </w:trPr>
        <w:tc>
          <w:tcPr>
            <w:tcW w:type="dxa" w:w="18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2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8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Disclosure norms</w:t>
            </w:r>
          </w:p>
        </w:tc>
        <w:tc>
          <w:tcPr>
            <w:tcW w:type="dxa" w:w="72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Some cultures expect family-collective decision-making (not individual); UI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8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multi-caregiver consent flows</w:t>
            </w:r>
          </w:p>
        </w:tc>
      </w:tr>
      <w:tr>
        <w:trPr>
          <w:trHeight w:hRule="exact" w:val="478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2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Diagnostic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vocabulary</w:t>
            </w:r>
          </w:p>
        </w:tc>
        <w:tc>
          <w:tcPr>
            <w:tcW w:type="dxa" w:w="7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4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“Neurodevelopmental difference” offered alongside “ASD” in family-facing copy;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selects framing in conversation</w:t>
            </w:r>
          </w:p>
        </w:tc>
      </w:tr>
      <w:tr>
        <w:trPr>
          <w:trHeight w:hRule="exact" w:val="480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0"/>
            </w:tblGrid>
            <w:tr>
              <w:trPr>
                <w:trHeight w:hRule="exact" w:val="232"/>
              </w:trPr>
              <w:tc>
                <w:tcPr>
                  <w:tcW w:type="dxa" w:w="15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Spiritual 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00"/>
            </w:tblGrid>
            <w:tr>
              <w:trPr>
                <w:trHeight w:hRule="exact" w:val="214"/>
              </w:trPr>
              <w:tc>
                <w:tcPr>
                  <w:tcW w:type="dxa" w:w="18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religious framings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4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Patient navigator trained to acknowledge, not contest, religious framings; AI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never adjudicates</w:t>
            </w:r>
          </w:p>
        </w:tc>
      </w:tr>
      <w:tr>
        <w:trPr>
          <w:trHeight w:hRule="exact" w:val="478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0" w:right="576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Trust in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institutions</w:t>
            </w:r>
          </w:p>
        </w:tc>
        <w:tc>
          <w:tcPr>
            <w:tcW w:type="dxa" w:w="7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4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For communities with historical reasons to distrust medical institutions, an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independent advocate role is offered</w:t>
            </w:r>
          </w:p>
        </w:tc>
      </w:tr>
      <w:tr>
        <w:trPr>
          <w:trHeight w:hRule="exact" w:val="478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0"/>
            </w:tblGrid>
            <w:tr>
              <w:trPr>
                <w:trHeight w:hRule="exact" w:val="230"/>
              </w:trPr>
              <w:tc>
                <w:tcPr>
                  <w:tcW w:type="dxa" w:w="14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Language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00"/>
            </w:tblGrid>
            <w:tr>
              <w:trPr>
                <w:trHeight w:hRule="exact" w:val="214"/>
              </w:trPr>
              <w:tc>
                <w:tcPr>
                  <w:tcW w:type="dxa" w:w="14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4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directness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4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Direct vs. indirect communication styles supported; clinician training material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covers both</w:t>
            </w:r>
          </w:p>
        </w:tc>
      </w:tr>
    </w:tbl>
    <w:p>
      <w:pPr>
        <w:autoSpaceDN w:val="0"/>
        <w:tabs>
          <w:tab w:pos="3374" w:val="left"/>
        </w:tabs>
        <w:autoSpaceDE w:val="0"/>
        <w:widowControl/>
        <w:spacing w:line="224" w:lineRule="exact" w:before="0" w:after="32"/>
        <w:ind w:left="1440" w:right="201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Stigma sensitivity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Family-facing materials use neutral language; never “risk of” framing that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activates stigma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1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0" w:right="288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Community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elders</w:t>
            </w:r>
          </w:p>
        </w:tc>
        <w:tc>
          <w:tcPr>
            <w:tcW w:type="dxa" w:w="7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94" w:right="100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In communities where elders are decision-influential, consent workflow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accommodates their presence with caregiver permission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40" w:right="1296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Cultural sensitivity is operationalised as workflow flexibility, not as embedded AI logic. The AI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does not classify families by culture; the workflow allows families to select the communication style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framing they prefer.</w:t>
      </w:r>
    </w:p>
    <w:p>
      <w:pPr>
        <w:autoSpaceDN w:val="0"/>
        <w:autoSpaceDE w:val="0"/>
        <w:widowControl/>
        <w:spacing w:line="478" w:lineRule="exact" w:before="164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framework relies on clinician training and patient-navigator infrastruc-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ture, not algorithmic logic. This is deliberate — AI should not classify cultural identity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— but it does mean cultural sensitivity is contingent on organisational investment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human roles, which is captured in the value-realization section (J10).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J5. Consent, Caregiver Agency &amp; Participatory Decision-Making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Boxes served: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Governance, Trust.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Beneficiaries: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caregiver, child.</w:t>
      </w:r>
    </w:p>
    <w:p>
      <w:pPr>
        <w:autoSpaceDN w:val="0"/>
        <w:autoSpaceDE w:val="0"/>
        <w:widowControl/>
        <w:spacing w:line="478" w:lineRule="exact" w:before="0" w:after="0"/>
        <w:ind w:left="1440" w:right="1438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The consent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Consent in AI-assisted screening must extend beyond the mo-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ment of EEG capture to cover: (a) the use of the data by the AI model, (b) the use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 output in clinical decisions, (c) the retention and re-use of data for future model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training, and (d) the caregiver’s continuing right to revoke any of the above. A single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signature at intake does not satisfy any of these.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717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5.187.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Consent Surface. Each consent dimension is granular, separately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revocable, and audit-logged.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7160"/>
            <w:gridSpan w:val="2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Consent dimension What the caregiver agrees to</w:t>
            </w:r>
          </w:p>
        </w:tc>
        <w:tc>
          <w:tcPr>
            <w:tcW w:type="dxa" w:w="186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Revocable</w:t>
            </w:r>
          </w:p>
        </w:tc>
      </w:tr>
      <w:tr>
        <w:trPr>
          <w:trHeight w:hRule="exact" w:val="300"/>
        </w:trPr>
        <w:tc>
          <w:tcPr>
            <w:tcW w:type="dxa" w:w="1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Clinical use</w:t>
            </w:r>
          </w:p>
        </w:tc>
        <w:tc>
          <w:tcPr>
            <w:tcW w:type="dxa" w:w="5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captured and used for this child’s screening</w:t>
            </w:r>
          </w:p>
        </w:tc>
        <w:tc>
          <w:tcPr>
            <w:tcW w:type="dxa" w:w="18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(with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6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caveat: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80.0" w:type="dxa"/>
      </w:tblPr>
      <w:tblGrid>
        <w:gridCol w:w="9026"/>
      </w:tblGrid>
      <w:tr>
        <w:trPr>
          <w:trHeight w:hRule="exact" w:val="240"/>
        </w:trPr>
        <w:tc>
          <w:tcPr>
            <w:tcW w:type="dxa" w:w="6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0.0" w:type="dxa"/>
      </w:tblPr>
      <w:tblGrid>
        <w:gridCol w:w="9026"/>
      </w:tblGrid>
      <w:tr>
        <w:trPr>
          <w:trHeight w:hRule="exact" w:val="238"/>
        </w:trPr>
        <w:tc>
          <w:tcPr>
            <w:tcW w:type="dxa" w:w="6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already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92"/>
        </w:trPr>
        <w:tc>
          <w:tcPr>
            <w:tcW w:type="dxa" w:w="8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 model inference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EEG run through the AI screening model; result shown to clinician</w:t>
            </w:r>
          </w:p>
        </w:tc>
        <w:tc>
          <w:tcPr>
            <w:tcW w:type="dxa" w:w="1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144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informed)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28"/>
        </w:trPr>
        <w:tc>
          <w:tcPr>
            <w:tcW w:type="dxa" w:w="1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support</w:t>
            </w:r>
          </w:p>
        </w:tc>
        <w:tc>
          <w:tcPr>
            <w:tcW w:type="dxa" w:w="6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output used as one input to clinician’s decision</w:t>
            </w:r>
          </w:p>
        </w:tc>
        <w:tc>
          <w:tcPr>
            <w:tcW w:type="dxa" w:w="11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60.0" w:type="dxa"/>
      </w:tblPr>
      <w:tblGrid>
        <w:gridCol w:w="9026"/>
      </w:tblGrid>
      <w:tr>
        <w:trPr>
          <w:trHeight w:hRule="exact" w:val="238"/>
        </w:trPr>
        <w:tc>
          <w:tcPr>
            <w:tcW w:type="dxa" w:w="6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7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(clinician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40.0" w:type="dxa"/>
      </w:tblPr>
      <w:tblGrid>
        <w:gridCol w:w="9026"/>
      </w:tblGrid>
      <w:tr>
        <w:trPr>
          <w:trHeight w:hRule="exact" w:val="238"/>
        </w:trPr>
        <w:tc>
          <w:tcPr>
            <w:tcW w:type="dxa" w:w="6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7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 decide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0.0" w:type="dxa"/>
      </w:tblPr>
      <w:tblGrid>
        <w:gridCol w:w="9026"/>
      </w:tblGrid>
      <w:tr>
        <w:trPr>
          <w:trHeight w:hRule="exact" w:val="240"/>
        </w:trPr>
        <w:tc>
          <w:tcPr>
            <w:tcW w:type="dxa" w:w="6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24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Future training</w:t>
            </w:r>
          </w:p>
        </w:tc>
        <w:tc>
          <w:tcPr>
            <w:tcW w:type="dxa" w:w="5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De-identified EEG used in future model training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10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AI)</w:t>
            </w:r>
          </w:p>
        </w:tc>
      </w:tr>
      <w:tr>
        <w:trPr>
          <w:trHeight w:hRule="exact" w:val="254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7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 default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0"/>
        <w:ind w:left="0" w:right="17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0"/>
        </w:trPr>
        <w:tc>
          <w:tcPr>
            <w:tcW w:type="dxa" w:w="1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Research</w:t>
            </w:r>
          </w:p>
        </w:tc>
        <w:tc>
          <w:tcPr>
            <w:tcW w:type="dxa" w:w="5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De-identified record used in approved research</w:t>
            </w:r>
          </w:p>
        </w:tc>
        <w:tc>
          <w:tcPr>
            <w:tcW w:type="dxa" w:w="20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Yes, default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37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Longitudinal</w:t>
            </w:r>
          </w:p>
        </w:tc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4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joined to future visits for the same child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8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OFF</w:t>
            </w:r>
          </w:p>
        </w:tc>
      </w:tr>
      <w:tr>
        <w:trPr>
          <w:trHeight w:hRule="exact" w:val="25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9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linkage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170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Family access</w:t>
            </w:r>
          </w:p>
        </w:tc>
        <w:tc>
          <w:tcPr>
            <w:tcW w:type="dxa" w:w="584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 receives results via family-facing dashboard</w:t>
            </w:r>
          </w:p>
        </w:tc>
        <w:tc>
          <w:tcPr>
            <w:tcW w:type="dxa" w:w="148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Default-OFF for future training and research reflects the dignity principle (J2): consent for one</w:t>
      </w:r>
    </w:p>
    <w:p>
      <w:pPr>
        <w:autoSpaceDN w:val="0"/>
        <w:autoSpaceDE w:val="0"/>
        <w:widowControl/>
        <w:spacing w:line="200" w:lineRule="exact" w:before="11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purpose does not extend to others. Granularity is a governance feature, not a UX inconvenience.</w:t>
      </w:r>
    </w:p>
    <w:p>
      <w:pPr>
        <w:autoSpaceDN w:val="0"/>
        <w:autoSpaceDE w:val="0"/>
        <w:widowControl/>
        <w:spacing w:line="240" w:lineRule="exact" w:before="40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Granular consent imposes UX complexity. The dissertation’s position is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that the cost is justified by the gain in caregiver agency. Future work should evaluate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whether the granularity surface is comprehensible to caregivers across literacy levels.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J6. Longitudinal Trust &amp; Sustainable Caregiver Lifecycle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Boxes served: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Trust, Adoption.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Beneficiaries: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caregiver, family.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The longitudinal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Trust is not established at the first appointment; it is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cultivated across the screening lifecycle. A trust ecosystem must therefore design for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repeated, low-friction touchpoints rather than a single high-stakes encounter.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718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5.188.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Caregiver Trust Lifecycle. Five canonical phases with the 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signal, the explainability signal, and the trust-supporting interaction in each.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6"/>
        </w:trPr>
        <w:tc>
          <w:tcPr>
            <w:tcW w:type="dxa" w:w="12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28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 signal</w:t>
            </w:r>
          </w:p>
        </w:tc>
        <w:tc>
          <w:tcPr>
            <w:tcW w:type="dxa" w:w="246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Explainability signal</w:t>
            </w:r>
          </w:p>
        </w:tc>
        <w:tc>
          <w:tcPr>
            <w:tcW w:type="dxa" w:w="252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 interaction</w:t>
            </w:r>
          </w:p>
        </w:tc>
      </w:tr>
      <w:tr>
        <w:trPr>
          <w:trHeight w:hRule="exact" w:val="296"/>
        </w:trPr>
        <w:tc>
          <w:tcPr>
            <w:tcW w:type="dxa" w:w="12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Pre-visit</w:t>
            </w:r>
          </w:p>
        </w:tc>
        <w:tc>
          <w:tcPr>
            <w:tcW w:type="dxa" w:w="2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Plain-language description</w:t>
            </w:r>
          </w:p>
        </w:tc>
        <w:tc>
          <w:tcPr>
            <w:tcW w:type="dxa" w:w="2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FAQ-level overview of</w:t>
            </w:r>
          </w:p>
        </w:tc>
        <w:tc>
          <w:tcPr>
            <w:tcW w:type="dxa" w:w="25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Optional pre-visit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how AI is used; consent</w:t>
            </w:r>
          </w:p>
        </w:tc>
        <w:tc>
          <w:tcPr>
            <w:tcW w:type="dxa" w:w="2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factors the AI considers</w:t>
            </w:r>
          </w:p>
        </w:tc>
        <w:tc>
          <w:tcPr>
            <w:tcW w:type="dxa" w:w="2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conversation with</w:t>
            </w:r>
          </w:p>
        </w:tc>
      </w:tr>
      <w:tr>
        <w:trPr>
          <w:trHeight w:hRule="exact" w:val="252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options previewed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navigator</w:t>
            </w:r>
          </w:p>
        </w:tc>
      </w:tr>
      <w:tr>
        <w:trPr>
          <w:trHeight w:hRule="exact" w:val="208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In-visit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Granular consent captured;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Real-time SHAP-derived</w:t>
            </w:r>
          </w:p>
        </w:tc>
        <w:tc>
          <w:tcPr>
            <w:tcW w:type="dxa" w:w="2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communicates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introduces AI as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 in family-</w:t>
            </w:r>
          </w:p>
        </w:tc>
        <w:tc>
          <w:tcPr>
            <w:tcW w:type="dxa" w:w="25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result, not AI</w:t>
            </w:r>
          </w:p>
        </w:tc>
      </w:tr>
      <w:tr>
        <w:trPr>
          <w:trHeight w:hRule="exact" w:val="270"/>
        </w:trPr>
        <w:tc>
          <w:tcPr>
            <w:tcW w:type="dxa" w:w="2256"/>
            <w:vMerge/>
            <w:tcBorders/>
          </w:tcPr>
          <w:p/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support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language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 accompanied by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Top-3 contributing factors</w:t>
            </w:r>
          </w:p>
        </w:tc>
        <w:tc>
          <w:tcPr>
            <w:tcW w:type="dxa" w:w="2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navigator available</w:t>
            </w:r>
          </w:p>
        </w:tc>
      </w:tr>
      <w:tr>
        <w:trPr>
          <w:trHeight w:hRule="exact" w:val="278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delivery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registered model version +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family-language</w:t>
            </w:r>
          </w:p>
        </w:tc>
        <w:tc>
          <w:tcPr>
            <w:tcW w:type="dxa" w:w="2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questions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48"/>
        </w:trPr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 pass</w:t>
            </w:r>
          </w:p>
        </w:tc>
        <w:tc>
          <w:tcPr>
            <w:tcW w:type="dxa" w:w="22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7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Follow-up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Confirmation that no silent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Caregiver-readable</w:t>
            </w:r>
          </w:p>
        </w:tc>
        <w:tc>
          <w:tcPr>
            <w:tcW w:type="dxa" w:w="2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Channel to ask questions</w:t>
            </w:r>
          </w:p>
        </w:tc>
      </w:tr>
      <w:tr>
        <w:trPr>
          <w:trHeight w:hRule="exact" w:val="27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(30–90d)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change has occurred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summary of what was</w:t>
            </w:r>
          </w:p>
        </w:tc>
        <w:tc>
          <w:tcPr>
            <w:tcW w:type="dxa" w:w="2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3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 re-visit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586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6"/>
        </w:trPr>
        <w:tc>
          <w:tcPr>
            <w:tcW w:type="dxa" w:w="13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Long-term</w:t>
            </w:r>
          </w:p>
        </w:tc>
        <w:tc>
          <w:tcPr>
            <w:tcW w:type="dxa" w:w="2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Annual notification of any</w:t>
            </w:r>
          </w:p>
        </w:tc>
        <w:tc>
          <w:tcPr>
            <w:tcW w:type="dxa" w:w="2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Lifetime audit access via</w:t>
            </w:r>
          </w:p>
        </w:tc>
        <w:tc>
          <w:tcPr>
            <w:tcW w:type="dxa" w:w="2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Right-to-be-forgotten still</w:t>
            </w:r>
          </w:p>
        </w:tc>
      </w:tr>
      <w:tr>
        <w:trPr>
          <w:trHeight w:hRule="exact" w:val="262"/>
        </w:trPr>
        <w:tc>
          <w:tcPr>
            <w:tcW w:type="dxa" w:w="2256"/>
            <w:vMerge/>
            <w:tcBorders/>
          </w:tcPr>
          <w:p/>
        </w:tc>
        <w:tc>
          <w:tcPr>
            <w:tcW w:type="dxa" w:w="2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re-validation or recall</w:t>
            </w:r>
          </w:p>
        </w:tc>
        <w:tc>
          <w:tcPr>
            <w:tcW w:type="dxa" w:w="2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 dashboard</w:t>
            </w:r>
          </w:p>
        </w:tc>
        <w:tc>
          <w:tcPr>
            <w:tcW w:type="dxa" w:w="2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force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Longitudinal trust is operationalised as a state machine, not as marketing copy. Each phase has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 specific governance + explainability + interaction obligation.</w:t>
      </w:r>
    </w:p>
    <w:p>
      <w:pPr>
        <w:autoSpaceDN w:val="0"/>
        <w:autoSpaceDE w:val="0"/>
        <w:widowControl/>
        <w:spacing w:line="478" w:lineRule="exact" w:before="166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lifecycle model is normative; the empirical pilot covered the in-visit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result-delivery phases only. Future studies should track the 30–90 day and long-term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phases.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J7. Ecosystem Maturity Model (Human-Centered Extension of RGAIG)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Boxes served: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Governance, Trust, Adoption.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Beneficiaries: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all (provider, clinician, care-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giver, child).</w:t>
      </w:r>
    </w:p>
    <w:p>
      <w:pPr>
        <w:autoSpaceDN w:val="0"/>
        <w:autoSpaceDE w:val="0"/>
        <w:widowControl/>
        <w:spacing w:line="478" w:lineRule="exact" w:before="2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The maturity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RGAIG Maturity Framework (Ch. 1) describes provider-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organisation governance maturity in six levels. This subsection extends the same six levels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caregiver-ecosystem maturity — because a provider can score at RGAIG Level 5 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internal governance while delivering Level 1 caregiver experience, and that asymmetry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 a defensible end-state.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719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5.189.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Ecosystem Maturity Model. Each RGAIG level is paired with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caregiver-ecosystem maturity signal. A defensible system advances both axes in step.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78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Level</w:t>
            </w:r>
          </w:p>
        </w:tc>
        <w:tc>
          <w:tcPr>
            <w:tcW w:type="dxa" w:w="36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Provider (RGAIG) maturity</w:t>
            </w:r>
          </w:p>
        </w:tc>
        <w:tc>
          <w:tcPr>
            <w:tcW w:type="dxa" w:w="462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Caregiver-ecosystem maturity (this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45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work)</w:t>
            </w:r>
          </w:p>
        </w:tc>
      </w:tr>
      <w:tr>
        <w:trPr>
          <w:trHeight w:hRule="exact" w:val="300"/>
        </w:trPr>
        <w:tc>
          <w:tcPr>
            <w:tcW w:type="dxa" w:w="45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 Initial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Ad-hoc AI use; no audit; no rollback</w:t>
            </w:r>
          </w:p>
        </w:tc>
        <w:tc>
          <w:tcPr>
            <w:tcW w:type="dxa" w:w="44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family-facing surface; result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communicated verbally only</w:t>
            </w:r>
          </w:p>
        </w:tc>
      </w:tr>
      <w:tr>
        <w:trPr>
          <w:trHeight w:hRule="exact" w:val="208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2 Docu-</w:t>
            </w:r>
          </w:p>
        </w:tc>
        <w:tc>
          <w:tcPr>
            <w:tcW w:type="dxa" w:w="3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registry; audit log exists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Caregiver-readable result summary available</w:t>
            </w:r>
          </w:p>
        </w:tc>
      </w:tr>
      <w:tr>
        <w:trPr>
          <w:trHeight w:hRule="exact" w:val="270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mented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 request</w:t>
            </w:r>
          </w:p>
        </w:tc>
      </w:tr>
      <w:tr>
        <w:trPr>
          <w:trHeight w:hRule="exact" w:val="190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3 Mea-</w:t>
            </w:r>
          </w:p>
        </w:tc>
        <w:tc>
          <w:tcPr>
            <w:tcW w:type="dxa" w:w="3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940"/>
            </w:tblGrid>
            <w:tr>
              <w:trPr>
                <w:trHeight w:hRule="exact" w:val="458"/>
              </w:trPr>
              <w:tc>
                <w:tcPr>
                  <w:tcW w:type="dxa" w:w="38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Drift, fairness measured; dashboards exist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 dashboard exists; basic consent</w:t>
            </w:r>
          </w:p>
        </w:tc>
      </w:tr>
      <w:tr>
        <w:trPr>
          <w:trHeight w:hRule="exact" w:val="288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sured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granularity</w:t>
            </w:r>
          </w:p>
        </w:tc>
      </w:tr>
      <w:tr>
        <w:trPr>
          <w:trHeight w:hRule="exact" w:val="192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4 Con-</w:t>
            </w:r>
          </w:p>
        </w:tc>
        <w:tc>
          <w:tcPr>
            <w:tcW w:type="dxa" w:w="3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Pre-deploy gates enforced; HITL real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Granular consent + right-to-be-forgotten;</w:t>
            </w:r>
          </w:p>
        </w:tc>
      </w:tr>
      <w:tr>
        <w:trPr>
          <w:trHeight w:hRule="exact" w:val="286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trolled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cultural sensitivity workflows live</w:t>
            </w:r>
          </w:p>
        </w:tc>
      </w:tr>
      <w:tr>
        <w:trPr>
          <w:trHeight w:hRule="exact" w:val="194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5 Adap-</w:t>
            </w:r>
          </w:p>
        </w:tc>
        <w:tc>
          <w:tcPr>
            <w:tcW w:type="dxa" w:w="3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940"/>
            </w:tblGrid>
            <w:tr>
              <w:trPr>
                <w:trHeight w:hRule="exact" w:val="458"/>
              </w:trPr>
              <w:tc>
                <w:tcPr>
                  <w:tcW w:type="dxa" w:w="36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5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Continuous monitoring; rapid rollback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Longitudinal trust touchpoints; caregiver</w:t>
            </w:r>
          </w:p>
        </w:tc>
      </w:tr>
      <w:tr>
        <w:trPr>
          <w:trHeight w:hRule="exact" w:val="284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tive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feedback channels operational</w:t>
            </w:r>
          </w:p>
        </w:tc>
      </w:tr>
      <w:tr>
        <w:trPr>
          <w:trHeight w:hRule="exact" w:val="196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Cross-tenant best-practice diffusion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Community advisory in governance;</w:t>
            </w:r>
          </w:p>
        </w:tc>
      </w:tr>
      <w:tr>
        <w:trPr>
          <w:trHeight w:hRule="exact" w:val="274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Opera-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caregivers shape model retraining priorities</w:t>
            </w:r>
          </w:p>
        </w:tc>
      </w:tr>
    </w:tbl>
    <w:p>
      <w:pPr>
        <w:autoSpaceDN w:val="0"/>
        <w:tabs>
          <w:tab w:pos="3268" w:val="left"/>
        </w:tabs>
        <w:autoSpaceDE w:val="0"/>
        <w:widowControl/>
        <w:spacing w:line="27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tionalised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intent is to make asymmetry visible. A provider claiming RGAIG 5 while caregivers operate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in Level 1 conditions has an audit-detectable governance gap.</w:t>
      </w:r>
    </w:p>
    <w:p>
      <w:pPr>
        <w:autoSpaceDN w:val="0"/>
        <w:autoSpaceDE w:val="0"/>
        <w:widowControl/>
        <w:spacing w:line="478" w:lineRule="exact" w:before="212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caregiver-axis maturity descriptions are derived from clinical commu-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nication literature and the present dissertation’s framing; large-scale validation across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institutions is future work.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J8. Role Boundaries &amp; Dependency Prevention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Boxes served: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Governance, Trust.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Beneficiaries: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clinician, caregiver.</w:t>
      </w:r>
    </w:p>
    <w:p>
      <w:pPr>
        <w:autoSpaceDN w:val="0"/>
        <w:autoSpaceDE w:val="0"/>
        <w:widowControl/>
        <w:spacing w:line="478" w:lineRule="exact" w:before="0" w:after="0"/>
        <w:ind w:left="1440" w:right="1438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The boundaries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threat the literature documents is not that AI takes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 decisions but that humans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stop exercising judgement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when AI is available (automa-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tion bias; Parasuraman &amp; Manzey, 2010). Role boundaries are governance controls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 dependency formation.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720</w:t>
      </w:r>
    </w:p>
    <w:p>
      <w:pPr>
        <w:autoSpaceDN w:val="0"/>
        <w:autoSpaceDE w:val="0"/>
        <w:widowControl/>
        <w:spacing w:line="288" w:lineRule="exact" w:before="620" w:after="194"/>
        <w:ind w:left="1440" w:right="259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5.190.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Role Boundaries. Each role has explicit authority limits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 enforcement mechanisms.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120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520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Authority boundary</w:t>
            </w:r>
          </w:p>
        </w:tc>
        <w:tc>
          <w:tcPr>
            <w:tcW w:type="dxa" w:w="262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Enforcement</w:t>
            </w:r>
          </w:p>
        </w:tc>
      </w:tr>
      <w:tr>
        <w:trPr>
          <w:trHeight w:hRule="exact" w:val="296"/>
        </w:trPr>
        <w:tc>
          <w:tcPr>
            <w:tcW w:type="dxa" w:w="12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 model</w:t>
            </w:r>
          </w:p>
        </w:tc>
        <w:tc>
          <w:tcPr>
            <w:tcW w:type="dxa" w:w="52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Cannot label, cannot communicate to family, cannot</w:t>
            </w:r>
          </w:p>
        </w:tc>
        <w:tc>
          <w:tcPr>
            <w:tcW w:type="dxa" w:w="26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UI block; family-facing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adjust threshold itself</w:t>
            </w:r>
          </w:p>
        </w:tc>
        <w:tc>
          <w:tcPr>
            <w:tcW w:type="dxa" w:w="26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 never renders an AI-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2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Must independently assess every case; AI is one input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 label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Periodic AI-disagreement</w:t>
            </w:r>
          </w:p>
        </w:tc>
      </w:tr>
    </w:tbl>
    <w:p>
      <w:pPr>
        <w:autoSpaceDN w:val="0"/>
        <w:autoSpaceDE w:val="0"/>
        <w:widowControl/>
        <w:spacing w:line="232" w:lineRule="exact" w:before="0" w:after="32"/>
        <w:ind w:left="8198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audit; clinician judgement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reviewed if always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agreeing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0"/>
        </w:trPr>
        <w:tc>
          <w:tcPr>
            <w:tcW w:type="dxa" w:w="1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Caregiver</w:t>
            </w:r>
          </w:p>
        </w:tc>
        <w:tc>
          <w:tcPr>
            <w:tcW w:type="dxa" w:w="5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Always retains right to seek second opinion or refuse</w:t>
            </w:r>
          </w:p>
        </w:tc>
        <w:tc>
          <w:tcPr>
            <w:tcW w:type="dxa" w:w="26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surfaces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0.0" w:type="dxa"/>
      </w:tblPr>
      <w:tblGrid>
        <w:gridCol w:w="9026"/>
      </w:tblGrid>
      <w:tr>
        <w:trPr>
          <w:trHeight w:hRule="exact" w:val="236"/>
        </w:trPr>
        <w:tc>
          <w:tcPr>
            <w:tcW w:type="dxa" w:w="6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9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alternatives; no dark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Provider org</w:t>
            </w:r>
          </w:p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Cannot share data beyond consent surface; cannot retrain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patterns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+ tenant isolation</w:t>
            </w:r>
          </w:p>
        </w:tc>
      </w:tr>
      <w:tr>
        <w:trPr>
          <w:trHeight w:hRule="exact" w:val="252"/>
        </w:trPr>
        <w:tc>
          <w:tcPr>
            <w:tcW w:type="dxa" w:w="3009"/>
            <w:vMerge/>
            <w:tcBorders/>
          </w:tcPr>
          <w:p/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silently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family notification on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0"/>
        <w:ind w:left="0" w:right="261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re-validation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198"/>
        </w:trPr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Patient</w:t>
            </w:r>
          </w:p>
        </w:tc>
        <w:tc>
          <w:tcPr>
            <w:tcW w:type="dxa" w:w="47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family; cannot diagnose</w:t>
            </w:r>
          </w:p>
        </w:tc>
        <w:tc>
          <w:tcPr>
            <w:tcW w:type="dxa" w:w="30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7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 + scope-of-</w:t>
            </w:r>
          </w:p>
        </w:tc>
      </w:tr>
      <w:tr>
        <w:trPr>
          <w:trHeight w:hRule="exact" w:val="282"/>
        </w:trPr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navigator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practice document</w:t>
            </w:r>
          </w:p>
        </w:tc>
      </w:tr>
      <w:tr>
        <w:trPr>
          <w:trHeight w:hRule="exact" w:val="22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Researcher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 only to consented, de-identified data</w:t>
            </w:r>
          </w:p>
        </w:tc>
        <w:tc>
          <w:tcPr>
            <w:tcW w:type="dxa" w:w="3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 + data-use</w:t>
            </w:r>
          </w:p>
        </w:tc>
      </w:tr>
    </w:tbl>
    <w:p>
      <w:pPr>
        <w:autoSpaceDN w:val="0"/>
        <w:tabs>
          <w:tab w:pos="2224" w:val="left"/>
          <w:tab w:pos="8198" w:val="left"/>
        </w:tabs>
        <w:autoSpaceDE w:val="0"/>
        <w:widowControl/>
        <w:spacing w:line="276" w:lineRule="exact" w:before="0" w:after="0"/>
        <w:ind w:left="1446" w:right="144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agreement enforced </w:t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Dependency prevention is operationalised as periodic clinician-AI-disagreement audit: a clinician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who always agrees with the AI may be over-relying. This is monitored, not punished.</w:t>
      </w:r>
    </w:p>
    <w:p>
      <w:pPr>
        <w:autoSpaceDN w:val="0"/>
        <w:autoSpaceDE w:val="0"/>
        <w:widowControl/>
        <w:spacing w:line="476" w:lineRule="exact" w:before="168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Audit-of-agreement is a novel control surface; thresholds for “too much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agreement” must be calibrated empirically across populations.</w:t>
      </w:r>
    </w:p>
    <w:p>
      <w:pPr>
        <w:autoSpaceDN w:val="0"/>
        <w:autoSpaceDE w:val="0"/>
        <w:widowControl/>
        <w:spacing w:line="240" w:lineRule="exact" w:before="574" w:after="33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J9. Fairness &amp; Bias-Awareness Governance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84" w:firstLine="0"/>
              <w:jc w:val="right"/>
            </w:pP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Boxes served: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Governance, Trust, Adoption.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Beneficiaries: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all, particularly under-</w:t>
            </w:r>
          </w:p>
        </w:tc>
      </w:tr>
    </w:tbl>
    <w:p>
      <w:pPr>
        <w:autoSpaceDN w:val="0"/>
        <w:autoSpaceDE w:val="0"/>
        <w:widowControl/>
        <w:spacing w:line="240" w:lineRule="exact" w:before="17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represented sub-populations.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The fairness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ASD presentation differs by sex (chronic under-diagnosis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girls), by ethnicity (later diagnosis in Black and Hispanic children in U.S. data),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 socio-economic status. A screening AI trained without explicit fairness gates can 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produce and amplify these disparities. Fairness is therefore a pre-deployment 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gate, not a post-hoc audit.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721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5.191.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Fairness Gate Specification. Each fairness metric has a pre-deployment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threshold and a continuous-monitoring threshold; failure of either triggers a defined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39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Pre-deploy threshold</w:t>
            </w:r>
          </w:p>
        </w:tc>
        <w:tc>
          <w:tcPr>
            <w:tcW w:type="dxa" w:w="37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Production response if failed</w:t>
            </w:r>
          </w:p>
        </w:tc>
      </w:tr>
      <w:tr>
        <w:trPr>
          <w:trHeight w:hRule="exact" w:val="302"/>
        </w:trPr>
        <w:tc>
          <w:tcPr>
            <w:tcW w:type="dxa" w:w="1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Disparate</w:t>
            </w:r>
          </w:p>
        </w:tc>
        <w:tc>
          <w:tcPr>
            <w:tcW w:type="dxa" w:w="39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4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 across sex, ethnicity, age bands</w:t>
            </w:r>
          </w:p>
        </w:tc>
        <w:tc>
          <w:tcPr>
            <w:tcW w:type="dxa" w:w="37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Pre-deploy block; re-train or re-balance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8"/>
        </w:trPr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</w:t>
            </w:r>
          </w:p>
        </w:tc>
        <w:tc>
          <w:tcPr>
            <w:tcW w:type="dxa" w:w="38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0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Equal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58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5 percentage points TPR gap</w:t>
            </w:r>
          </w:p>
        </w:tc>
        <w:tc>
          <w:tcPr>
            <w:tcW w:type="dxa" w:w="4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Pre-deploy block; investigation required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8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opportunity gap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00"/>
        </w:trPr>
        <w:tc>
          <w:tcPr>
            <w:tcW w:type="dxa" w:w="1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Calibration</w:t>
            </w:r>
          </w:p>
        </w:tc>
        <w:tc>
          <w:tcPr>
            <w:tcW w:type="dxa" w:w="3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 slopes within 0.10 across</w:t>
            </w:r>
          </w:p>
        </w:tc>
        <w:tc>
          <w:tcPr>
            <w:tcW w:type="dxa" w:w="382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Re-calibration before deploy</w:t>
            </w:r>
          </w:p>
        </w:tc>
      </w:tr>
      <w:tr>
        <w:trPr>
          <w:trHeight w:hRule="exact" w:val="278"/>
        </w:trPr>
        <w:tc>
          <w:tcPr>
            <w:tcW w:type="dxa" w:w="1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parity</w:t>
            </w:r>
          </w:p>
        </w:tc>
        <w:tc>
          <w:tcPr>
            <w:tcW w:type="dxa" w:w="3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Sub-group AUC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sub-group AUC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5 points below</w:t>
            </w:r>
          </w:p>
        </w:tc>
        <w:tc>
          <w:tcPr>
            <w:tcW w:type="dxa" w:w="3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Targeted data collection required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32"/>
        <w:ind w:left="0" w:right="80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overall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Drift fairness</w:t>
            </w:r>
          </w:p>
        </w:tc>
        <w:tc>
          <w:tcPr>
            <w:tcW w:type="dxa" w:w="3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 re-test; same thresholds</w:t>
            </w:r>
          </w:p>
        </w:tc>
        <w:tc>
          <w:tcPr>
            <w:tcW w:type="dxa" w:w="3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Rollback to last-validated version; re-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36"/>
        </w:trPr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6" w:after="0"/>
              <w:ind w:left="0" w:right="37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Caregiver-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6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 dashboard surfaces</w:t>
            </w:r>
          </w:p>
        </w:tc>
        <w:tc>
          <w:tcPr>
            <w:tcW w:type="dxa" w:w="4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</w:t>
            </w:r>
          </w:p>
        </w:tc>
      </w:tr>
      <w:tr>
        <w:trPr>
          <w:trHeight w:hRule="exact" w:val="22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Investigation; not direct retraining</w:t>
            </w:r>
          </w:p>
        </w:tc>
      </w:tr>
      <w:tr>
        <w:trPr>
          <w:trHeight w:hRule="exact" w:val="290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55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reported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dissatisfaction signal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6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trigger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1584" w:right="1584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Pre-deploy is a hard gate; production thresholds trigger investigation and rollback, not silent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re-training. Caregiver-reported signals are surfaced but never directly modify model behaviour, 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prevent gaming.</w:t>
      </w:r>
    </w:p>
    <w:p>
      <w:pPr>
        <w:autoSpaceDN w:val="0"/>
        <w:autoSpaceDE w:val="0"/>
        <w:widowControl/>
        <w:spacing w:line="476" w:lineRule="exact" w:before="166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pilot dataset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131) is too small for meaningful subgroup anal-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ysis; the fairness specification here is normative, with subgroup analysis flagged as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precondition for any scale-up beyond the pilot.</w:t>
      </w:r>
    </w:p>
    <w:p>
      <w:pPr>
        <w:autoSpaceDN w:val="0"/>
        <w:autoSpaceDE w:val="0"/>
        <w:widowControl/>
        <w:spacing w:line="238" w:lineRule="exact" w:before="57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J10. Value Realization &amp; Sustainable Impact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Boxes served: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Adoption.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Beneficiaries: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all.</w:t>
      </w:r>
    </w:p>
    <w:p>
      <w:pPr>
        <w:autoSpaceDN w:val="0"/>
        <w:autoSpaceDE w:val="0"/>
        <w:widowControl/>
        <w:spacing w:line="478" w:lineRule="exact" w:before="2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The value premise.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 governance ecosystem that is well-designed but never sustained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becomes shelfware. Value realization makes the governance investment defensible to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budget owner and durable across leadership change.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722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5.192.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Value Realization Categories. Each value category has a measurable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indicator with a baseline-and-target structure familiar to provider-organisation budget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7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Value category</w:t>
            </w:r>
          </w:p>
        </w:tc>
        <w:tc>
          <w:tcPr>
            <w:tcW w:type="dxa" w:w="36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Indicator</w:t>
            </w:r>
          </w:p>
        </w:tc>
        <w:tc>
          <w:tcPr>
            <w:tcW w:type="dxa" w:w="37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Measurement cadence</w:t>
            </w:r>
          </w:p>
        </w:tc>
      </w:tr>
      <w:tr>
        <w:trPr>
          <w:trHeight w:hRule="exact" w:val="300"/>
        </w:trPr>
        <w:tc>
          <w:tcPr>
            <w:tcW w:type="dxa" w:w="17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3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to first specialist consultation;</w:t>
            </w:r>
          </w:p>
        </w:tc>
        <w:tc>
          <w:tcPr>
            <w:tcW w:type="dxa" w:w="37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cohort; quarterly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2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7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 predictive value</w:t>
            </w:r>
          </w:p>
        </w:tc>
        <w:tc>
          <w:tcPr>
            <w:tcW w:type="dxa" w:w="40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Caregiver-reported trust score;</w:t>
            </w:r>
          </w:p>
        </w:tc>
        <w:tc>
          <w:tcPr>
            <w:tcW w:type="dxa" w:w="4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 survey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601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clinician-reported trust 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3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Active-clinician rate; consent-</w:t>
            </w:r>
          </w:p>
        </w:tc>
        <w:tc>
          <w:tcPr>
            <w:tcW w:type="dxa" w:w="40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Monthly dashboard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2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Equity</w:t>
            </w:r>
          </w:p>
        </w:tc>
        <w:tc>
          <w:tcPr>
            <w:tcW w:type="dxa" w:w="3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completion rate</w:t>
            </w:r>
          </w:p>
        </w:tc>
        <w:tc>
          <w:tcPr>
            <w:tcW w:type="dxa" w:w="36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</w:t>
            </w:r>
          </w:p>
        </w:tc>
      </w:tr>
      <w:tr>
        <w:trPr>
          <w:trHeight w:hRule="exact" w:val="258"/>
        </w:trPr>
        <w:tc>
          <w:tcPr>
            <w:tcW w:type="dxa" w:w="3009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Sub-group adoption + outcome parity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</w:t>
            </w:r>
          </w:p>
        </w:tc>
        <w:tc>
          <w:tcPr>
            <w:tcW w:type="dxa" w:w="3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Rollback events; incident rate; audit-</w:t>
            </w:r>
          </w:p>
        </w:tc>
        <w:tc>
          <w:tcPr>
            <w:tcW w:type="dxa" w:w="36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Monthly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34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3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 count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</w:t>
            </w:r>
          </w:p>
        </w:tc>
      </w:tr>
      <w:tr>
        <w:trPr>
          <w:trHeight w:hRule="exact" w:val="244"/>
        </w:trPr>
        <w:tc>
          <w:tcPr>
            <w:tcW w:type="dxa" w:w="3009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level (J7 maturity); fairness-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73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gate pass 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Caregiver</w:t>
            </w:r>
          </w:p>
        </w:tc>
        <w:tc>
          <w:tcPr>
            <w:tcW w:type="dxa" w:w="3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Right-to-be-forgotten honoured within</w:t>
            </w:r>
          </w:p>
        </w:tc>
        <w:tc>
          <w:tcPr>
            <w:tcW w:type="dxa" w:w="36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Monthly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2" w:after="0"/>
              <w:ind w:left="0" w:right="27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Sustainability</w:t>
            </w:r>
          </w:p>
        </w:tc>
        <w:tc>
          <w:tcPr>
            <w:tcW w:type="dxa" w:w="3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SLA; dissatisfaction signal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 + annually</w:t>
            </w:r>
          </w:p>
        </w:tc>
      </w:tr>
      <w:tr>
        <w:trPr>
          <w:trHeight w:hRule="exact" w:val="240"/>
        </w:trPr>
        <w:tc>
          <w:tcPr>
            <w:tcW w:type="dxa" w:w="3009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per screening (steady-state); staff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tabs>
          <w:tab w:pos="1654" w:val="left"/>
          <w:tab w:pos="3374" w:val="left"/>
          <w:tab w:pos="5246" w:val="left"/>
        </w:tabs>
        <w:autoSpaceDE w:val="0"/>
        <w:widowControl/>
        <w:spacing w:line="268" w:lineRule="exact" w:before="0" w:after="0"/>
        <w:ind w:left="1598" w:right="1584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retention in screening team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Value categories are deliberately broader than clinical metrics. A system that scores well 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clinical PPV but degrades caregiver trust or equity has not realised value; the dashboard makes the </w:t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trade-off legible.</w:t>
      </w:r>
    </w:p>
    <w:p>
      <w:pPr>
        <w:autoSpaceDN w:val="0"/>
        <w:autoSpaceDE w:val="0"/>
        <w:widowControl/>
        <w:spacing w:line="478" w:lineRule="exact" w:before="164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Limitation.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Value realization metrics are normative; longitudinal benchmarks are absent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 this pilot and must be established as the system enters production deployment.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Appendix J Closing Positioning</w:t>
      </w:r>
    </w:p>
    <w:p>
      <w:pPr>
        <w:autoSpaceDN w:val="0"/>
        <w:autoSpaceDE w:val="0"/>
        <w:widowControl/>
        <w:spacing w:line="478" w:lineRule="exact" w:before="154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What Appendix J adds to the dissertation.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five Defensibility Packs in Chapters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1–5 and Appendices A–I establish the empirical and methodological core: a 4-box causal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chain, six hypotheses, a piloted survey instrument, a RGAIG Maturity Framework 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hero artefact, and a locked doctoral identity. Appendix J extends the ecosystem beyond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clinician dyad to include caregivers, children, and the surrounding social context 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threads child dignity, ecosystem maturity, role boundaries, fairness governance,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value realization through all of it. Appendix J does not introduce a new research question;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 operationalises the human-centred consequences of the existing one.</w:t>
      </w:r>
    </w:p>
    <w:p>
      <w:pPr>
        <w:autoSpaceDN w:val="0"/>
        <w:autoSpaceDE w:val="0"/>
        <w:widowControl/>
        <w:spacing w:line="478" w:lineRule="exact" w:before="2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What Appendix J does not do.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It does not propose a new bioethical theory. It does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 extend the empirical pilot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131) to caregivers. It does not claim AI can solve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disparity, cultural alienation, or dependency formation. It documents the 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contracts and workflow specifications that, if implemented, prevent the dissertation’s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723</w:t>
      </w:r>
    </w:p>
    <w:p>
      <w:pPr>
        <w:autoSpaceDN w:val="0"/>
        <w:autoSpaceDE w:val="0"/>
        <w:widowControl/>
        <w:spacing w:line="480" w:lineRule="exact" w:before="344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screening system from becoming a well-engineered B2B product that fails the family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ecosystem on which paediatric ASD screening depends.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Reviewer position.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If a reviewer asks “does this dissertation engage with the human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ecosystem beyond the clinician?” the candidate answers: “yes — Appendix J, ten sub-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sections, each tied to a beneficiary and a box in the causal chain, with the supervisor’s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five strategic threads operationalised as governance controls.”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