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496" w:lineRule="exact" w:before="7326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80"/>
          <w:sz w:val="50"/>
        </w:rPr>
        <w:t>Appendix J</w:t>
      </w:r>
    </w:p>
    <w:p>
      <w:pPr>
        <w:autoSpaceDN w:val="0"/>
        <w:autoSpaceDE w:val="0"/>
        <w:widowControl/>
        <w:spacing w:line="496" w:lineRule="exact" w:before="778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80"/>
          <w:sz w:val="50"/>
        </w:rPr>
        <w:t>Human-Centered B2B+B2C</w:t>
      </w:r>
    </w:p>
    <w:p>
      <w:pPr>
        <w:autoSpaceDN w:val="0"/>
        <w:autoSpaceDE w:val="0"/>
        <w:widowControl/>
        <w:spacing w:line="496" w:lineRule="exact" w:before="492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80"/>
          <w:sz w:val="50"/>
        </w:rPr>
        <w:t>Ecosystem Governance</w:t>
      </w:r>
    </w:p>
    <w:p>
      <w:pPr>
        <w:autoSpaceDN w:val="0"/>
        <w:autoSpaceDE w:val="0"/>
        <w:widowControl/>
        <w:spacing w:line="496" w:lineRule="exact" w:before="0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80"/>
          <w:sz w:val="50"/>
        </w:rPr>
        <w:t>(Dignity, Maturity, Fairness, Value)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713</w:t>
      </w:r>
    </w:p>
    <w:p>
      <w:pPr>
        <w:autoSpaceDN w:val="0"/>
        <w:autoSpaceDE w:val="0"/>
        <w:widowControl/>
        <w:spacing w:line="240" w:lineRule="exact" w:before="682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80"/>
          <w:sz w:val="24"/>
        </w:rPr>
        <w:t>Appendix J Framing: Why a Unified Human-Centered Ecosystem Appendix</w:t>
      </w:r>
    </w:p>
    <w:p>
      <w:pPr>
        <w:autoSpaceDN w:val="0"/>
        <w:autoSpaceDE w:val="0"/>
        <w:widowControl/>
        <w:spacing w:line="478" w:lineRule="exact" w:before="236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What this appendix is.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 consolidated ecosystem-governance specification for 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B2B (provider organisation) and B2C (clinician, caregiver, child, family) sides of AI-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assisted ASD-EEG screening, with the supervisor’s TOP-5 cross-cutting threads — child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dignity, ecosystem maturity, role boundaries, fairness governance, and value realization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 threaded through every section.</w:t>
      </w:r>
    </w:p>
    <w:p>
      <w:pPr>
        <w:autoSpaceDN w:val="0"/>
        <w:autoSpaceDE w:val="0"/>
        <w:widowControl/>
        <w:spacing w:line="478" w:lineRule="exact" w:before="2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What this appendix is not.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It is not a sixth empirical study. It is not a procure-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 document. It is not a product specification. It is the human-centred ecosystem-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governance layer that operationalises the four-box causal chain (Governance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ability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Trust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Adoption) beyond the immediate clinician dyad to include caregivers,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families, children, and the organisational ecosystem in which trust must be sustained over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time.</w:t>
      </w:r>
    </w:p>
    <w:p>
      <w:pPr>
        <w:autoSpaceDN w:val="0"/>
        <w:tabs>
          <w:tab w:pos="1726" w:val="left"/>
        </w:tabs>
        <w:autoSpaceDE w:val="0"/>
        <w:widowControl/>
        <w:spacing w:line="478" w:lineRule="exact" w:before="2" w:after="0"/>
        <w:ind w:left="1440" w:right="144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Inclusion test (the J Rule).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Every subsection in Appendix J must satisfy two ques-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tions: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1. Does it strengthen Governance, Explainability, Trust, or Adoption?</w:t>
      </w:r>
    </w:p>
    <w:p>
      <w:pPr>
        <w:autoSpaceDN w:val="0"/>
        <w:autoSpaceDE w:val="0"/>
        <w:widowControl/>
        <w:spacing w:line="478" w:lineRule="exact" w:before="0" w:after="0"/>
        <w:ind w:left="1440" w:right="1440" w:firstLine="286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 Does it identify a specific human beneficiary — clinician, caregiver, child, or family?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subsection that cannot answer both is excluded. This rule is auditable: each section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 is annotated with the box(es) and beneficiary it serves.</w:t>
      </w:r>
    </w:p>
    <w:p>
      <w:pPr>
        <w:autoSpaceDN w:val="0"/>
        <w:autoSpaceDE w:val="0"/>
        <w:widowControl/>
        <w:spacing w:line="238" w:lineRule="exact" w:before="562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J1. Unified B2B+B2C Governance Orchestration Framework</w:t>
      </w:r>
    </w:p>
    <w:p>
      <w:pPr>
        <w:autoSpaceDN w:val="0"/>
        <w:autoSpaceDE w:val="0"/>
        <w:widowControl/>
        <w:spacing w:line="478" w:lineRule="exact" w:before="154" w:after="0"/>
        <w:ind w:left="1440" w:right="144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Boxes served: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Governance, Trust, Adoption.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Beneficiaries: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provider organisation (B2B),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clinician + caregiver + child (B2C).</w:t>
      </w:r>
    </w:p>
    <w:p>
      <w:pPr>
        <w:autoSpaceDN w:val="0"/>
        <w:autoSpaceDE w:val="0"/>
        <w:widowControl/>
        <w:spacing w:line="478" w:lineRule="exact" w:before="2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The orchestration problem.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Most AI-assisted clinical screening systems are designed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 a B2B product (sold to a hospital, configured by IT, deployed for clinicians) 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caregivers and children treated as data sources or end-users-by-default. This dissertation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argues that for paediatric ASD-EEG screening, the B2B and B2C layers must be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jointly </w:t>
      </w:r>
      <w:r>
        <w:rPr>
          <w:rFonts w:ascii="LMRoman12" w:hAnsi="LMRoman12" w:eastAsia="LMRoman12"/>
          <w:b w:val="0"/>
          <w:i/>
          <w:color w:val="000000"/>
          <w:sz w:val="24"/>
        </w:rPr>
        <w:t>orchestrated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: governance controls operating at the provider level (audit, drift, registry,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rollback) must be visible and consequential to the family level (caregiver consent records,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child dignity safeguards, longitudinal trust signals), and vice versa.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714</w:t>
      </w:r>
    </w:p>
    <w:p>
      <w:pPr>
        <w:autoSpaceDN w:val="0"/>
        <w:autoSpaceDE w:val="0"/>
        <w:widowControl/>
        <w:spacing w:line="288" w:lineRule="exact" w:before="620" w:after="194"/>
        <w:ind w:left="1440" w:right="144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5.197.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Unified B2B+B2C Governance Orchestration. Each governance control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paired with a B2B operational responsibility (the organisation must enforce it) and 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B2C visible signal (the family must be able to perceive that it is in force).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08"/>
        </w:trPr>
        <w:tc>
          <w:tcPr>
            <w:tcW w:type="dxa" w:w="1480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Governance</w:t>
            </w:r>
          </w:p>
        </w:tc>
        <w:tc>
          <w:tcPr>
            <w:tcW w:type="dxa" w:w="3820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B2B responsibility (organisation)</w:t>
            </w:r>
          </w:p>
        </w:tc>
        <w:tc>
          <w:tcPr>
            <w:tcW w:type="dxa" w:w="3726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182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B2C visible signal (family)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36.0" w:type="dxa"/>
      </w:tblPr>
      <w:tblGrid>
        <w:gridCol w:w="3009"/>
        <w:gridCol w:w="3009"/>
        <w:gridCol w:w="3009"/>
      </w:tblGrid>
      <w:tr>
        <w:trPr>
          <w:trHeight w:hRule="exact" w:val="296"/>
        </w:trPr>
        <w:tc>
          <w:tcPr>
            <w:tcW w:type="dxa" w:w="1644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control</w:t>
            </w:r>
          </w:p>
        </w:tc>
        <w:tc>
          <w:tcPr>
            <w:tcW w:type="dxa" w:w="364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5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8"/>
        </w:trPr>
        <w:tc>
          <w:tcPr>
            <w:tcW w:type="dxa" w:w="1644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Decision audit</w:t>
            </w:r>
          </w:p>
        </w:tc>
        <w:tc>
          <w:tcPr>
            <w:tcW w:type="dxa" w:w="364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4" w:after="0"/>
              <w:ind w:left="18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Per-decision immutable trail; SOC2</w:t>
            </w:r>
          </w:p>
        </w:tc>
        <w:tc>
          <w:tcPr>
            <w:tcW w:type="dxa" w:w="375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4" w:after="0"/>
              <w:ind w:left="20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Caregiver-readable summary of what the</w:t>
            </w:r>
          </w:p>
        </w:tc>
      </w:tr>
      <w:tr>
        <w:trPr>
          <w:trHeight w:hRule="exact" w:val="280"/>
        </w:trPr>
        <w:tc>
          <w:tcPr>
            <w:tcW w:type="dxa" w:w="1644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log</w:t>
            </w:r>
          </w:p>
        </w:tc>
        <w:tc>
          <w:tcPr>
            <w:tcW w:type="dxa" w:w="36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0" w:after="0"/>
              <w:ind w:left="18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retention; weekly review</w:t>
            </w:r>
          </w:p>
        </w:tc>
        <w:tc>
          <w:tcPr>
            <w:tcW w:type="dxa" w:w="375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AI saw and what the clinician decided</w:t>
            </w:r>
          </w:p>
        </w:tc>
      </w:tr>
      <w:tr>
        <w:trPr>
          <w:trHeight w:hRule="exact" w:val="200"/>
        </w:trPr>
        <w:tc>
          <w:tcPr>
            <w:tcW w:type="dxa" w:w="1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Model registry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Version pinning; tested rollback path;</w:t>
            </w:r>
          </w:p>
        </w:tc>
        <w:tc>
          <w:tcPr>
            <w:tcW w:type="dxa" w:w="37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20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Plain-language statement that the</w:t>
            </w:r>
          </w:p>
        </w:tc>
      </w:tr>
      <w:tr>
        <w:trPr>
          <w:trHeight w:hRule="exact" w:val="268"/>
        </w:trPr>
        <w:tc>
          <w:tcPr>
            <w:tcW w:type="dxa" w:w="1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2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+ rollback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8" w:after="0"/>
              <w:ind w:left="18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deploy approvals</w:t>
            </w:r>
          </w:p>
        </w:tc>
        <w:tc>
          <w:tcPr>
            <w:tcW w:type="dxa" w:w="37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8" w:after="0"/>
              <w:ind w:left="20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version used today is the version</w:t>
            </w:r>
          </w:p>
        </w:tc>
      </w:tr>
    </w:tbl>
    <w:p>
      <w:pPr>
        <w:autoSpaceDN w:val="0"/>
        <w:autoSpaceDE w:val="0"/>
        <w:widowControl/>
        <w:spacing w:line="200" w:lineRule="exact" w:before="18" w:after="32"/>
        <w:ind w:left="0" w:right="261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validated for paediatric use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478"/>
        </w:trPr>
        <w:tc>
          <w:tcPr>
            <w:tcW w:type="dxa" w:w="53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320"/>
            </w:tblGrid>
            <w:tr>
              <w:trPr>
                <w:trHeight w:hRule="exact" w:val="230"/>
              </w:trPr>
              <w:tc>
                <w:tcPr>
                  <w:tcW w:type="dxa" w:w="5040"/>
                  <w:tcBorders/>
                  <w:shd w:fill="fcf0f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2" w:lineRule="exact" w:before="8" w:after="0"/>
                    <w:ind w:left="60" w:right="0" w:firstLine="0"/>
                    <w:jc w:val="left"/>
                  </w:pPr>
                  <w:r>
                    <w:rPr>
                      <w:rFonts w:ascii="LMRoman10" w:hAnsi="LMRoman10" w:eastAsia="LMRoman10"/>
                      <w:b/>
                      <w:i w:val="0"/>
                      <w:color w:val="000000"/>
                      <w:sz w:val="20"/>
                    </w:rPr>
                    <w:t>Drift monitoring</w:t>
                  </w:r>
                  <w:r>
                    <w:rPr>
                      <w:rFonts w:ascii="LMRoman10" w:hAnsi="LMRoman10" w:eastAsia="LMRoman10"/>
                      <w:b w:val="0"/>
                      <w:i w:val="0"/>
                      <w:color w:val="000000"/>
                      <w:sz w:val="20"/>
                    </w:rPr>
                    <w:t xml:space="preserve"> Monthly recalibration; sub-group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40.0" w:type="dxa"/>
            </w:tblPr>
            <w:tblGrid>
              <w:gridCol w:w="5320"/>
            </w:tblGrid>
            <w:tr>
              <w:trPr>
                <w:trHeight w:hRule="exact" w:val="212"/>
              </w:trPr>
              <w:tc>
                <w:tcPr>
                  <w:tcW w:type="dxa" w:w="3720"/>
                  <w:tcBorders/>
                  <w:shd w:fill="fcf0f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8" w:lineRule="exact" w:before="18" w:after="0"/>
                    <w:ind w:left="0" w:right="660" w:firstLine="0"/>
                    <w:jc w:val="right"/>
                  </w:pPr>
                  <w:r>
                    <w:rPr>
                      <w:rFonts w:ascii="LMRoman10" w:hAnsi="LMRoman10" w:eastAsia="LMRoman10"/>
                      <w:b w:val="0"/>
                      <w:i w:val="0"/>
                      <w:color w:val="000000"/>
                      <w:sz w:val="20"/>
                    </w:rPr>
                    <w:t>performance dashboards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8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222" w:right="144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Notification when the system has been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re-validated; no silent change</w:t>
            </w:r>
          </w:p>
        </w:tc>
      </w:tr>
      <w:tr>
        <w:trPr>
          <w:trHeight w:hRule="exact" w:val="224"/>
        </w:trPr>
        <w:tc>
          <w:tcPr>
            <w:tcW w:type="dxa" w:w="17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Bias / fairness</w:t>
            </w:r>
          </w:p>
        </w:tc>
        <w:tc>
          <w:tcPr>
            <w:tcW w:type="dxa" w:w="3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Pre-deploy fairness pass; quarterly</w:t>
            </w:r>
          </w:p>
        </w:tc>
        <w:tc>
          <w:tcPr>
            <w:tcW w:type="dxa" w:w="3826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222" w:right="144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Caregiver-visible note that fairness has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been tested across age, sex, ethnicity</w:t>
            </w:r>
          </w:p>
        </w:tc>
      </w:tr>
      <w:tr>
        <w:trPr>
          <w:trHeight w:hRule="exact" w:val="254"/>
        </w:trPr>
        <w:tc>
          <w:tcPr>
            <w:tcW w:type="dxa" w:w="17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gate</w:t>
            </w:r>
          </w:p>
        </w:tc>
        <w:tc>
          <w:tcPr>
            <w:tcW w:type="dxa" w:w="3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fairness re-test</w:t>
            </w:r>
          </w:p>
        </w:tc>
        <w:tc>
          <w:tcPr>
            <w:tcW w:type="dxa" w:w="3009"/>
            <w:vMerge/>
            <w:tcBorders/>
          </w:tcPr>
          <w:p/>
        </w:tc>
      </w:tr>
      <w:tr>
        <w:trPr>
          <w:trHeight w:hRule="exact" w:val="226"/>
        </w:trPr>
        <w:tc>
          <w:tcPr>
            <w:tcW w:type="dxa" w:w="17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HITL authority</w:t>
            </w:r>
          </w:p>
        </w:tc>
        <w:tc>
          <w:tcPr>
            <w:tcW w:type="dxa" w:w="358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0.0" w:type="dxa"/>
            </w:tblPr>
            <w:tblGrid>
              <w:gridCol w:w="3580"/>
            </w:tblGrid>
            <w:tr>
              <w:trPr>
                <w:trHeight w:hRule="exact" w:val="198"/>
              </w:trPr>
              <w:tc>
                <w:tcPr>
                  <w:tcW w:type="dxa" w:w="3420"/>
                  <w:tcBorders/>
                  <w:shd w:fill="fcf0f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8" w:after="0"/>
                    <w:ind w:left="0" w:right="0" w:firstLine="0"/>
                    <w:jc w:val="center"/>
                  </w:pPr>
                  <w:r>
                    <w:rPr>
                      <w:rFonts w:ascii="LMRoman10" w:hAnsi="LMRoman10" w:eastAsia="LMRoman10"/>
                      <w:b w:val="0"/>
                      <w:i w:val="0"/>
                      <w:color w:val="000000"/>
                      <w:sz w:val="20"/>
                    </w:rPr>
                    <w:t>Clinician override is real, logged, and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826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222" w:right="288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Caregiver knows the clinician, not the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AI, signed the decision</w:t>
            </w:r>
          </w:p>
        </w:tc>
      </w:tr>
      <w:tr>
        <w:trPr>
          <w:trHeight w:hRule="exact" w:val="252"/>
        </w:trPr>
        <w:tc>
          <w:tcPr>
            <w:tcW w:type="dxa" w:w="53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0" w:right="142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never overridden by AI</w:t>
            </w:r>
          </w:p>
        </w:tc>
        <w:tc>
          <w:tcPr>
            <w:tcW w:type="dxa" w:w="3009"/>
            <w:vMerge/>
            <w:tcBorders/>
          </w:tcPr>
          <w:p/>
        </w:tc>
      </w:tr>
      <w:tr>
        <w:trPr>
          <w:trHeight w:hRule="exact" w:val="466"/>
        </w:trPr>
        <w:tc>
          <w:tcPr>
            <w:tcW w:type="dxa" w:w="53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80" w:val="left"/>
              </w:tabs>
              <w:autoSpaceDE w:val="0"/>
              <w:widowControl/>
              <w:spacing w:line="224" w:lineRule="exact" w:before="0" w:after="0"/>
              <w:ind w:left="60" w:right="144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Consent + scope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 Tenanted consent records; revocation </w:t>
            </w:r>
            <w:r>
              <w:tab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honoured within 24h</w:t>
            </w:r>
          </w:p>
        </w:tc>
        <w:tc>
          <w:tcPr>
            <w:tcW w:type="dxa" w:w="38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2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Caregiver dashboard showing what data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was used, by whom, when, and how to</w:t>
            </w:r>
          </w:p>
        </w:tc>
      </w:tr>
    </w:tbl>
    <w:p>
      <w:pPr>
        <w:autoSpaceDN w:val="0"/>
        <w:autoSpaceDE w:val="0"/>
        <w:widowControl/>
        <w:spacing w:line="200" w:lineRule="exact" w:before="20" w:after="32"/>
        <w:ind w:left="0" w:right="416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withdraw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190"/>
        </w:trPr>
        <w:tc>
          <w:tcPr>
            <w:tcW w:type="dxa" w:w="16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Explainability</w:t>
            </w:r>
          </w:p>
        </w:tc>
        <w:tc>
          <w:tcPr>
            <w:tcW w:type="dxa" w:w="37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SHAP, citations, counterfactual stored</w:t>
            </w:r>
          </w:p>
        </w:tc>
        <w:tc>
          <w:tcPr>
            <w:tcW w:type="dxa" w:w="376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Family-language explanation of the top</w:t>
            </w:r>
          </w:p>
        </w:tc>
      </w:tr>
      <w:tr>
        <w:trPr>
          <w:trHeight w:hRule="exact" w:val="288"/>
        </w:trPr>
        <w:tc>
          <w:tcPr>
            <w:tcW w:type="dxa" w:w="16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surface</w:t>
            </w:r>
          </w:p>
        </w:tc>
        <w:tc>
          <w:tcPr>
            <w:tcW w:type="dxa" w:w="37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8" w:after="0"/>
              <w:ind w:left="2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per decision</w:t>
            </w:r>
          </w:p>
        </w:tc>
        <w:tc>
          <w:tcPr>
            <w:tcW w:type="dxa" w:w="376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8" w:after="0"/>
              <w:ind w:left="16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factors (not raw SHAP)</w:t>
            </w:r>
          </w:p>
        </w:tc>
      </w:tr>
      <w:tr>
        <w:trPr>
          <w:trHeight w:hRule="exact" w:val="192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Incident +</w:t>
            </w:r>
          </w:p>
        </w:tc>
        <w:tc>
          <w:tcPr>
            <w:tcW w:type="dxa" w:w="3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Runbook, on-call, post-incident review</w:t>
            </w:r>
          </w:p>
        </w:tc>
        <w:tc>
          <w:tcPr>
            <w:tcW w:type="dxa" w:w="3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16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Family is informed of any incident</w:t>
            </w:r>
          </w:p>
        </w:tc>
      </w:tr>
      <w:tr>
        <w:trPr>
          <w:trHeight w:hRule="exact" w:val="304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escalation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3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6" w:after="0"/>
              <w:ind w:left="16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affecting their child’s record</w:t>
            </w:r>
          </w:p>
        </w:tc>
      </w:tr>
    </w:tbl>
    <w:p>
      <w:pPr>
        <w:autoSpaceDN w:val="0"/>
        <w:autoSpaceDE w:val="0"/>
        <w:widowControl/>
        <w:spacing w:line="202" w:lineRule="exact" w:before="46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The orchestration is symmetric: every B2B obligation has a B2C visible-signal partner. The rule</w:t>
      </w:r>
    </w:p>
    <w:p>
      <w:pPr>
        <w:autoSpaceDN w:val="0"/>
        <w:autoSpaceDE w:val="0"/>
        <w:widowControl/>
        <w:spacing w:line="238" w:lineRule="exact" w:before="78" w:after="0"/>
        <w:ind w:left="1584" w:right="1584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is auditable — if a B2B control is in place but no B2C signal exists, the ecosystem governance is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incomplete.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1092200</wp:posOffset>
            </wp:positionH>
            <wp:positionV relativeFrom="page">
              <wp:posOffset>939800</wp:posOffset>
            </wp:positionV>
            <wp:extent cx="2616200" cy="23114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6200" cy="2311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8" w:lineRule="exact" w:before="0" w:after="562"/>
        <w:ind w:left="0" w:right="2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715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4523"/>
        <w:gridCol w:w="4523"/>
      </w:tblGrid>
      <w:tr>
        <w:trPr>
          <w:trHeight w:hRule="exact" w:val="682"/>
        </w:trPr>
        <w:tc>
          <w:tcPr>
            <w:tcW w:type="dxa" w:w="5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6" w:after="0"/>
              <w:ind w:left="144" w:right="1152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B2B orchestration layer </w:t>
            </w:r>
            <w:r>
              <w:br/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Provider organisation: audit, registry, drift, rollback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2" w:after="0"/>
              <w:ind w:left="0" w:right="940" w:firstLine="0"/>
              <w:jc w:val="right"/>
            </w:pPr>
            <w:r>
              <w:drawing>
                <wp:anchor xmlns:a="http://schemas.openxmlformats.org/drawingml/2006/main" xmlns:pic="http://schemas.openxmlformats.org/drawingml/2006/picture" simplePos="0" relativeHeight="0" behindDoc="0" locked="0" layoutInCell="1" allowOverlap="1">
                  <wp:simplePos x="0" y="0"/>
                  <wp:positionH relativeFrom="page">
                    <wp:posOffset>5130800</wp:posOffset>
                  </wp:positionH>
                  <wp:positionV relativeFrom="page">
                    <wp:posOffset>1117600</wp:posOffset>
                  </wp:positionV>
                  <wp:extent cx="317500" cy="292100"/>
                  <wp:wrapNone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500" cy="2921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826"/>
        <w:ind w:left="0" w:right="0"/>
      </w:pPr>
    </w:p>
    <w:p>
      <w:pPr>
        <w:sectPr>
          <w:pgSz w:w="11906" w:h="16838"/>
          <w:pgMar w:top="358" w:right="142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exact" w:before="0" w:after="0"/>
        <w:ind w:left="576" w:right="1584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Mediating governance contracts </w:t>
      </w:r>
      <w:r>
        <w:br/>
      </w:r>
      <w:r>
        <w:rPr>
          <w:rFonts w:ascii="LMRoman8" w:hAnsi="LMRoman8" w:eastAsia="LMRoman8"/>
          <w:b w:val="0"/>
          <w:i w:val="0"/>
          <w:color w:val="000000"/>
          <w:sz w:val="16"/>
        </w:rPr>
        <w:t>Consent, scope, fairness gates, HITL authority</w:t>
      </w:r>
    </w:p>
    <w:p>
      <w:pPr>
        <w:autoSpaceDN w:val="0"/>
        <w:autoSpaceDE w:val="0"/>
        <w:widowControl/>
        <w:spacing w:line="262" w:lineRule="exact" w:before="946" w:after="0"/>
        <w:ind w:left="576" w:right="1584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B2C ecosystem layer </w:t>
      </w:r>
      <w:r>
        <w:br/>
      </w:r>
      <w:r>
        <w:rPr>
          <w:rFonts w:ascii="LMRoman8" w:hAnsi="LMRoman8" w:eastAsia="LMRoman8"/>
          <w:b w:val="0"/>
          <w:i w:val="0"/>
          <w:color w:val="000000"/>
          <w:sz w:val="16"/>
        </w:rPr>
        <w:t>Clinician + caregiver + child + family signals</w:t>
      </w:r>
    </w:p>
    <w:p>
      <w:pPr>
        <w:sectPr>
          <w:type w:val="continuous"/>
          <w:pgSz w:w="11906" w:h="16838"/>
          <w:pgMar w:top="358" w:right="1420" w:bottom="1440" w:left="1440" w:header="720" w:footer="720" w:gutter="0"/>
          <w:cols w:num="2" w:equalWidth="0">
            <w:col w:w="5676" w:space="0"/>
            <w:col w:w="3369" w:space="0"/>
          </w:cols>
          <w:docGrid w:linePitch="360"/>
        </w:sectPr>
      </w:pPr>
    </w:p>
    <w:p>
      <w:pPr>
        <w:autoSpaceDN w:val="0"/>
        <w:autoSpaceDE w:val="0"/>
        <w:widowControl/>
        <w:spacing w:line="180" w:lineRule="exact" w:before="0" w:after="1718"/>
        <w:ind w:left="1610" w:right="288" w:firstLine="0"/>
        <w:jc w:val="left"/>
      </w:pPr>
      <w:r>
        <w:rPr>
          <w:rFonts w:ascii="LMRoman8" w:hAnsi="LMRoman8" w:eastAsia="LMRoman8"/>
          <w:b w:val="0"/>
          <w:i w:val="0"/>
          <w:color w:val="000080"/>
          <w:sz w:val="16"/>
        </w:rPr>
        <w:t xml:space="preserve">Feedback: </w:t>
      </w:r>
      <w:r>
        <w:br/>
      </w:r>
      <w:r>
        <w:rPr>
          <w:rFonts w:ascii="LMRoman8" w:hAnsi="LMRoman8" w:eastAsia="LMRoman8"/>
          <w:b w:val="0"/>
          <w:i w:val="0"/>
          <w:color w:val="000080"/>
          <w:sz w:val="16"/>
        </w:rPr>
        <w:t xml:space="preserve">caregiver concerns </w:t>
      </w:r>
      <w:r>
        <w:br/>
      </w:r>
      <w:r>
        <w:rPr>
          <w:rFonts w:ascii="LMRoman8" w:hAnsi="LMRoman8" w:eastAsia="LMRoman8"/>
          <w:b w:val="0"/>
          <w:i w:val="0"/>
          <w:color w:val="000080"/>
          <w:sz w:val="16"/>
        </w:rPr>
        <w:t>flow upward</w:t>
      </w:r>
    </w:p>
    <w:p>
      <w:pPr>
        <w:sectPr>
          <w:type w:val="nextColumn"/>
          <w:pgSz w:w="11906" w:h="16838"/>
          <w:pgMar w:top="358" w:right="1420" w:bottom="1440" w:left="1440" w:header="720" w:footer="720" w:gutter="0"/>
          <w:cols w:num="2" w:equalWidth="0">
            <w:col w:w="5676" w:space="0"/>
            <w:col w:w="3369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exact" w:before="0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Figure 5.32.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Unified B2B+B2C orchestration. Governance contracts in the middle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layer make the provider-organisation controls (top) visible and meaningful to the family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ecosystem (bottom). The dashed feedback edge ensures upward flow: caregiver concerns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reach governance, not just downstream.</w:t>
      </w:r>
    </w:p>
    <w:p>
      <w:pPr>
        <w:autoSpaceDN w:val="0"/>
        <w:tabs>
          <w:tab w:pos="1518" w:val="left"/>
        </w:tabs>
        <w:autoSpaceDE w:val="0"/>
        <w:widowControl/>
        <w:spacing w:line="478" w:lineRule="exact" w:before="424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Limitation.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orchestration framework is conceptual; empirical validation of 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feedback loop (caregiver concern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→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governance action) is future work. The orchestration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is, however, defensible as a normative model derived from socio-technical systems theory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(Cherns, 1976) and trust-in-automation (Lee &amp; See, 2004).</w:t>
      </w:r>
    </w:p>
    <w:p>
      <w:pPr>
        <w:autoSpaceDN w:val="0"/>
        <w:autoSpaceDE w:val="0"/>
        <w:widowControl/>
        <w:spacing w:line="240" w:lineRule="exact" w:before="574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J2. Child Dignity &amp; Child-Centric Safeguards</w:t>
      </w:r>
    </w:p>
    <w:p>
      <w:pPr>
        <w:autoSpaceDN w:val="0"/>
        <w:autoSpaceDE w:val="0"/>
        <w:widowControl/>
        <w:spacing w:line="240" w:lineRule="exact" w:before="392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Boxes served: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Governance, Trust.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Beneficiaries: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child, caregiver.</w:t>
      </w:r>
    </w:p>
    <w:p>
      <w:pPr>
        <w:autoSpaceDN w:val="0"/>
        <w:autoSpaceDE w:val="0"/>
        <w:widowControl/>
        <w:spacing w:line="478" w:lineRule="exact" w:before="0" w:after="0"/>
        <w:ind w:left="0" w:right="2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The dignity premise.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 paediatric ASD-EEG screening system handles data from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children who cannot themselves consent and whose developmental trajectory may 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shaped by the labels the system contributes to producing. Dignity is not a soft concern;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 is a governance constraint with operational consequences.</w:t>
      </w:r>
    </w:p>
    <w:p>
      <w:pPr>
        <w:sectPr>
          <w:type w:val="continuous"/>
          <w:pgSz w:w="11906" w:h="16838"/>
          <w:pgMar w:top="358" w:right="142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716</w:t>
      </w:r>
    </w:p>
    <w:p>
      <w:pPr>
        <w:autoSpaceDN w:val="0"/>
        <w:autoSpaceDE w:val="0"/>
        <w:widowControl/>
        <w:spacing w:line="288" w:lineRule="exact" w:before="620" w:after="194"/>
        <w:ind w:left="1440" w:right="216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5.198.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Child Dignity Safeguards. Each safeguard is operationalised as 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governance control with a specific consequence if violated.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10"/>
        </w:trPr>
        <w:tc>
          <w:tcPr>
            <w:tcW w:type="dxa" w:w="1940"/>
            <w:tcBorders>
              <w:top w:sz="9.600000000000023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Dignity dimension</w:t>
            </w:r>
          </w:p>
        </w:tc>
        <w:tc>
          <w:tcPr>
            <w:tcW w:type="dxa" w:w="3680"/>
            <w:tcBorders>
              <w:top w:sz="9.600000000000023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108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Operational safeguard</w:t>
            </w:r>
          </w:p>
        </w:tc>
        <w:tc>
          <w:tcPr>
            <w:tcW w:type="dxa" w:w="3406"/>
            <w:tcBorders>
              <w:top w:sz="9.600000000000023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542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Consequence if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36.0" w:type="dxa"/>
      </w:tblPr>
      <w:tblGrid>
        <w:gridCol w:w="3009"/>
        <w:gridCol w:w="3009"/>
        <w:gridCol w:w="3009"/>
      </w:tblGrid>
      <w:tr>
        <w:trPr>
          <w:trHeight w:hRule="exact" w:val="294"/>
        </w:trPr>
        <w:tc>
          <w:tcPr>
            <w:tcW w:type="dxa" w:w="1864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2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5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0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violated</w:t>
            </w:r>
          </w:p>
        </w:tc>
      </w:tr>
      <w:tr>
        <w:trPr>
          <w:trHeight w:hRule="exact" w:val="278"/>
        </w:trPr>
        <w:tc>
          <w:tcPr>
            <w:tcW w:type="dxa" w:w="1864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No labelling</w:t>
            </w:r>
          </w:p>
        </w:tc>
        <w:tc>
          <w:tcPr>
            <w:tcW w:type="dxa" w:w="502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18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AI never returns “ASD” as a label directly to families;</w:t>
            </w:r>
          </w:p>
        </w:tc>
        <w:tc>
          <w:tcPr>
            <w:tcW w:type="dxa" w:w="215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10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Block: family-facing UI</w:t>
            </w:r>
          </w:p>
        </w:tc>
      </w:tr>
      <w:tr>
        <w:trPr>
          <w:trHeight w:hRule="exact" w:val="262"/>
        </w:trPr>
        <w:tc>
          <w:tcPr>
            <w:tcW w:type="dxa" w:w="1864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without clinician</w:t>
            </w:r>
          </w:p>
        </w:tc>
        <w:tc>
          <w:tcPr>
            <w:tcW w:type="dxa" w:w="50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only a clinician assigns and communicates a diagnosis</w:t>
            </w:r>
          </w:p>
        </w:tc>
        <w:tc>
          <w:tcPr>
            <w:tcW w:type="dxa" w:w="215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0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cannot render an AI-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3009"/>
        <w:gridCol w:w="3009"/>
        <w:gridCol w:w="3009"/>
      </w:tblGrid>
      <w:tr>
        <w:trPr>
          <w:trHeight w:hRule="exact" w:val="218"/>
        </w:trPr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0" w:after="0"/>
              <w:ind w:left="0" w:right="160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Non-permanence</w:t>
            </w:r>
          </w:p>
        </w:tc>
        <w:tc>
          <w:tcPr>
            <w:tcW w:type="dxa" w:w="4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5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 screening output is a moment-in-time signal, not a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16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only label</w:t>
            </w:r>
          </w:p>
        </w:tc>
      </w:tr>
      <w:tr>
        <w:trPr>
          <w:trHeight w:hRule="exact" w:val="240"/>
        </w:trPr>
        <w:tc>
          <w:tcPr>
            <w:tcW w:type="dxa" w:w="3009"/>
            <w:vMerge/>
            <w:tcBorders/>
          </w:tcPr>
          <w:p/>
        </w:tc>
        <w:tc>
          <w:tcPr>
            <w:tcW w:type="dxa" w:w="3009"/>
            <w:vMerge/>
            <w:tcBorders/>
          </w:tcPr>
          <w:p/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16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Audit failure: family-</w:t>
            </w:r>
          </w:p>
        </w:tc>
      </w:tr>
      <w:tr>
        <w:trPr>
          <w:trHeight w:hRule="exact" w:val="240"/>
        </w:trPr>
        <w:tc>
          <w:tcPr>
            <w:tcW w:type="dxa" w:w="3009"/>
            <w:vMerge/>
            <w:tcBorders/>
          </w:tcPr>
          <w:p/>
        </w:tc>
        <w:tc>
          <w:tcPr>
            <w:tcW w:type="dxa" w:w="4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developmental destiny; documented in family-facing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16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facing text must</w:t>
            </w:r>
          </w:p>
        </w:tc>
      </w:tr>
      <w:tr>
        <w:trPr>
          <w:trHeight w:hRule="exact" w:val="256"/>
        </w:trPr>
        <w:tc>
          <w:tcPr>
            <w:tcW w:type="dxa" w:w="3009"/>
            <w:vMerge/>
            <w:tcBorders/>
          </w:tcPr>
          <w:p/>
        </w:tc>
        <w:tc>
          <w:tcPr>
            <w:tcW w:type="dxa" w:w="4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8" w:after="0"/>
              <w:ind w:left="18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copy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8" w:after="0"/>
              <w:ind w:left="16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include non-</w:t>
            </w:r>
          </w:p>
        </w:tc>
      </w:tr>
    </w:tbl>
    <w:p>
      <w:pPr>
        <w:autoSpaceDN w:val="0"/>
        <w:autoSpaceDE w:val="0"/>
        <w:widowControl/>
        <w:spacing w:line="200" w:lineRule="exact" w:before="20" w:after="32"/>
        <w:ind w:left="0" w:right="152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permanence statement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192"/>
        </w:trPr>
        <w:tc>
          <w:tcPr>
            <w:tcW w:type="dxa" w:w="18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Minimum-</w:t>
            </w:r>
          </w:p>
        </w:tc>
        <w:tc>
          <w:tcPr>
            <w:tcW w:type="dxa" w:w="50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30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Only EEG channels required for screening are</w:t>
            </w:r>
          </w:p>
        </w:tc>
        <w:tc>
          <w:tcPr>
            <w:tcW w:type="dxa" w:w="22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8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Privacy review block</w:t>
            </w:r>
          </w:p>
        </w:tc>
      </w:tr>
      <w:tr>
        <w:trPr>
          <w:trHeight w:hRule="exact" w:val="286"/>
        </w:trPr>
        <w:tc>
          <w:tcPr>
            <w:tcW w:type="dxa" w:w="18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necessary data</w:t>
            </w:r>
          </w:p>
        </w:tc>
        <w:tc>
          <w:tcPr>
            <w:tcW w:type="dxa" w:w="50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4" w:after="0"/>
              <w:ind w:left="30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processed; demographic data is access-controlled</w:t>
            </w:r>
          </w:p>
        </w:tc>
        <w:tc>
          <w:tcPr>
            <w:tcW w:type="dxa" w:w="22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4" w:after="0"/>
              <w:ind w:left="18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before deploy</w:t>
            </w:r>
          </w:p>
        </w:tc>
      </w:tr>
      <w:tr>
        <w:trPr>
          <w:trHeight w:hRule="exact" w:val="194"/>
        </w:trPr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No re-</w:t>
            </w:r>
          </w:p>
        </w:tc>
        <w:tc>
          <w:tcPr>
            <w:tcW w:type="dxa" w:w="5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30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EEG signal de-identification verified; no longitudinal</w:t>
            </w:r>
          </w:p>
        </w:tc>
        <w:tc>
          <w:tcPr>
            <w:tcW w:type="dxa" w:w="22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8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Tenant isolation</w:t>
            </w:r>
          </w:p>
        </w:tc>
      </w:tr>
      <w:tr>
        <w:trPr>
          <w:trHeight w:hRule="exact" w:val="274"/>
        </w:trPr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identification</w:t>
            </w:r>
          </w:p>
        </w:tc>
        <w:tc>
          <w:tcPr>
            <w:tcW w:type="dxa" w:w="5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30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join without explicit consent</w:t>
            </w:r>
          </w:p>
        </w:tc>
        <w:tc>
          <w:tcPr>
            <w:tcW w:type="dxa" w:w="22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18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enforced (§41 multi-</w:t>
            </w:r>
          </w:p>
        </w:tc>
      </w:tr>
    </w:tbl>
    <w:p>
      <w:pPr>
        <w:autoSpaceDN w:val="0"/>
        <w:autoSpaceDE w:val="0"/>
        <w:widowControl/>
        <w:spacing w:line="200" w:lineRule="exact" w:before="18" w:after="30"/>
        <w:ind w:left="0" w:right="213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tenancy policy)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198"/>
        </w:trPr>
        <w:tc>
          <w:tcPr>
            <w:tcW w:type="dxa" w:w="18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Right to be</w:t>
            </w:r>
          </w:p>
        </w:tc>
        <w:tc>
          <w:tcPr>
            <w:tcW w:type="dxa" w:w="50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2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Caregiver-initiated deletion honoured within 30 days;</w:t>
            </w:r>
          </w:p>
        </w:tc>
        <w:tc>
          <w:tcPr>
            <w:tcW w:type="dxa" w:w="224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Compliance escalation</w:t>
            </w:r>
          </w:p>
        </w:tc>
      </w:tr>
      <w:tr>
        <w:trPr>
          <w:trHeight w:hRule="exact" w:val="282"/>
        </w:trPr>
        <w:tc>
          <w:tcPr>
            <w:tcW w:type="dxa" w:w="18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4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forgotten</w:t>
            </w:r>
          </w:p>
        </w:tc>
        <w:tc>
          <w:tcPr>
            <w:tcW w:type="dxa" w:w="50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0" w:after="0"/>
              <w:ind w:left="2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audit log retained with hash only</w:t>
            </w:r>
          </w:p>
        </w:tc>
        <w:tc>
          <w:tcPr>
            <w:tcW w:type="dxa" w:w="224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if deletion not actioned</w:t>
            </w:r>
          </w:p>
        </w:tc>
      </w:tr>
      <w:tr>
        <w:trPr>
          <w:trHeight w:hRule="exact" w:val="198"/>
        </w:trPr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Voice</w:t>
            </w:r>
          </w:p>
        </w:tc>
        <w:tc>
          <w:tcPr>
            <w:tcW w:type="dxa" w:w="5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Where age and capacity permit, child is informed in</w:t>
            </w:r>
          </w:p>
        </w:tc>
        <w:tc>
          <w:tcPr>
            <w:tcW w:type="dxa" w:w="22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Required as part of</w:t>
            </w:r>
          </w:p>
        </w:tc>
      </w:tr>
      <w:tr>
        <w:trPr>
          <w:trHeight w:hRule="exact" w:val="270"/>
        </w:trPr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(developmental-</w:t>
            </w:r>
          </w:p>
        </w:tc>
        <w:tc>
          <w:tcPr>
            <w:tcW w:type="dxa" w:w="5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8" w:after="0"/>
              <w:ind w:left="2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age-appropriate language about EEG procedure</w:t>
            </w:r>
          </w:p>
        </w:tc>
        <w:tc>
          <w:tcPr>
            <w:tcW w:type="dxa" w:w="22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8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consent workflow</w:t>
            </w:r>
          </w:p>
        </w:tc>
      </w:tr>
    </w:tbl>
    <w:p>
      <w:pPr>
        <w:autoSpaceDN w:val="0"/>
        <w:tabs>
          <w:tab w:pos="1474" w:val="left"/>
          <w:tab w:pos="1598" w:val="left"/>
          <w:tab w:pos="5750" w:val="left"/>
        </w:tabs>
        <w:autoSpaceDE w:val="0"/>
        <w:widowControl/>
        <w:spacing w:line="270" w:lineRule="exact" w:before="0" w:after="0"/>
        <w:ind w:left="1440" w:right="144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stage appropriate) </w:t>
      </w:r>
      <w:r>
        <w:br/>
      </w: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Each safeguard maps to either a system-level enforcement (block, audit failure, tenant isolation) </w:t>
      </w:r>
      <w:r>
        <w:tab/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or a procedural enforcement (consent workflow). Dignity is governance-enforceable, not aspirational </w:t>
      </w:r>
      <w:r>
        <w:tab/>
      </w:r>
      <w:r>
        <w:tab/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text.</w:t>
      </w:r>
    </w:p>
    <w:p>
      <w:pPr>
        <w:autoSpaceDN w:val="0"/>
        <w:autoSpaceDE w:val="0"/>
        <w:widowControl/>
        <w:spacing w:line="478" w:lineRule="exact" w:before="126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Limitation.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dignity framework draws on the UN Convention on the Rights of 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Child (Article 12: right to be heard) and existing paediatric clinical-research ethics. 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dissertation does not propose new bioethical principles; it operationalises established ones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 governance controls.</w:t>
      </w:r>
    </w:p>
    <w:p>
      <w:pPr>
        <w:autoSpaceDN w:val="0"/>
        <w:autoSpaceDE w:val="0"/>
        <w:widowControl/>
        <w:spacing w:line="240" w:lineRule="exact" w:before="574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J3. Accessibility &amp; Inclusive Caregiver Support</w:t>
      </w:r>
    </w:p>
    <w:p>
      <w:pPr>
        <w:autoSpaceDN w:val="0"/>
        <w:autoSpaceDE w:val="0"/>
        <w:widowControl/>
        <w:spacing w:line="240" w:lineRule="exact" w:before="392" w:after="0"/>
        <w:ind w:left="144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Boxes served: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Explainability, Trust, Adoption.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Beneficiaries: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caregiver, family.</w:t>
      </w:r>
    </w:p>
    <w:p>
      <w:pPr>
        <w:autoSpaceDN w:val="0"/>
        <w:autoSpaceDE w:val="0"/>
        <w:widowControl/>
        <w:spacing w:line="478" w:lineRule="exact" w:before="0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The accessibility premise.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 caregiver who cannot read, hear, or interact with 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screening result on equal terms is excluded from the trust relationship, regardless 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how well-engineered the underlying model is. Accessibility is therefore an explainability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constraint, not a frontend afterthought.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717</w:t>
      </w:r>
    </w:p>
    <w:p>
      <w:pPr>
        <w:autoSpaceDN w:val="0"/>
        <w:autoSpaceDE w:val="0"/>
        <w:widowControl/>
        <w:spacing w:line="288" w:lineRule="exact" w:before="620" w:after="194"/>
        <w:ind w:left="1440" w:right="144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5.199.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Accessibility Operationalisation. Each accessibility dimension is mapped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an explainability or adoption mechanism, with a WCAG 2.1 AA / Section 508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 where applicable.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64"/>
        </w:trPr>
        <w:tc>
          <w:tcPr>
            <w:tcW w:type="dxa" w:w="1420"/>
            <w:tcBorders>
              <w:top w:sz="9.599999999999909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Dimension</w:t>
            </w:r>
          </w:p>
        </w:tc>
        <w:tc>
          <w:tcPr>
            <w:tcW w:type="dxa" w:w="6180"/>
            <w:tcBorders>
              <w:top w:sz="9.599999999999909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40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Operationalisation</w:t>
            </w:r>
          </w:p>
        </w:tc>
        <w:tc>
          <w:tcPr>
            <w:tcW w:type="dxa" w:w="1426"/>
            <w:tcBorders>
              <w:top w:sz="9.599999999999909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34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Standard</w:t>
            </w:r>
          </w:p>
        </w:tc>
      </w:tr>
      <w:tr>
        <w:trPr>
          <w:trHeight w:hRule="exact" w:val="300"/>
        </w:trPr>
        <w:tc>
          <w:tcPr>
            <w:tcW w:type="dxa" w:w="142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Visual</w:t>
            </w:r>
          </w:p>
        </w:tc>
        <w:tc>
          <w:tcPr>
            <w:tcW w:type="dxa" w:w="618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4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High-contrast (4.5:1+), no colour-only signalling, text resize</w:t>
            </w:r>
            <w:r>
              <w:rPr>
                <w:rFonts w:ascii="LMMathSymbols10" w:hAnsi="LMMathSymbols10" w:eastAsia="LMMathSymbols10"/>
                <w:b w:val="0"/>
                <w:i/>
                <w:color w:val="000000"/>
                <w:sz w:val="20"/>
              </w:rPr>
              <w:t xml:space="preserve"> ≥</w:t>
            </w:r>
          </w:p>
        </w:tc>
        <w:tc>
          <w:tcPr>
            <w:tcW w:type="dxa" w:w="1426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3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WCAG 1.4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50"/>
        </w:trPr>
        <w:tc>
          <w:tcPr>
            <w:tcW w:type="dxa" w:w="1540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1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200%</w:t>
            </w:r>
          </w:p>
        </w:tc>
        <w:tc>
          <w:tcPr>
            <w:tcW w:type="dxa" w:w="1446"/>
            <w:tcBorders/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38"/>
        </w:trPr>
        <w:tc>
          <w:tcPr>
            <w:tcW w:type="dxa" w:w="1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Auditory</w:t>
            </w:r>
          </w:p>
        </w:tc>
        <w:tc>
          <w:tcPr>
            <w:tcW w:type="dxa" w:w="61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Audio explanation of screening result; captions for any video</w:t>
            </w:r>
          </w:p>
        </w:tc>
        <w:tc>
          <w:tcPr>
            <w:tcW w:type="dxa" w:w="14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28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WCAG 1.2</w:t>
            </w:r>
          </w:p>
        </w:tc>
      </w:tr>
      <w:tr>
        <w:trPr>
          <w:trHeight w:hRule="exact" w:val="200"/>
        </w:trPr>
        <w:tc>
          <w:tcPr>
            <w:tcW w:type="dxa" w:w="1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Cognitive</w:t>
            </w:r>
          </w:p>
        </w:tc>
        <w:tc>
          <w:tcPr>
            <w:tcW w:type="dxa" w:w="616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60.0" w:type="dxa"/>
            </w:tblPr>
            <w:tblGrid>
              <w:gridCol w:w="6160"/>
            </w:tblGrid>
            <w:tr>
              <w:trPr>
                <w:trHeight w:hRule="exact" w:val="184"/>
              </w:trPr>
              <w:tc>
                <w:tcPr>
                  <w:tcW w:type="dxa" w:w="5780"/>
                  <w:tcBorders/>
                  <w:shd w:fill="fcf0f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2" w:lineRule="exact" w:before="2" w:after="0"/>
                    <w:ind w:left="0" w:right="0" w:firstLine="0"/>
                    <w:jc w:val="center"/>
                  </w:pPr>
                  <w:r>
                    <w:rPr>
                      <w:rFonts w:ascii="LMRoman10" w:hAnsi="LMRoman10" w:eastAsia="LMRoman10"/>
                      <w:b w:val="0"/>
                      <w:i w:val="0"/>
                      <w:color w:val="000000"/>
                      <w:sz w:val="20"/>
                    </w:rPr>
                    <w:t>Plain-language version at</w:t>
                  </w:r>
                  <w:r>
                    <w:rPr>
                      <w:rFonts w:ascii="LMMathSymbols10" w:hAnsi="LMMathSymbols10" w:eastAsia="LMMathSymbols10"/>
                      <w:b w:val="0"/>
                      <w:i/>
                      <w:color w:val="000000"/>
                      <w:sz w:val="20"/>
                    </w:rPr>
                    <w:t xml:space="preserve"> ≤</w:t>
                  </w:r>
                  <w:r>
                    <w:rPr>
                      <w:rFonts w:ascii="LMRoman10" w:hAnsi="LMRoman10" w:eastAsia="LMRoman10"/>
                      <w:b w:val="0"/>
                      <w:i w:val="0"/>
                      <w:color w:val="000000"/>
                      <w:sz w:val="20"/>
                    </w:rPr>
                    <w:t>Grade 8 reading level; visual icon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46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WCAG 3.1.5</w:t>
            </w:r>
          </w:p>
        </w:tc>
      </w:tr>
      <w:tr>
        <w:trPr>
          <w:trHeight w:hRule="exact" w:val="278"/>
        </w:trPr>
        <w:tc>
          <w:tcPr>
            <w:tcW w:type="dxa" w:w="1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(literacy)</w:t>
            </w:r>
          </w:p>
        </w:tc>
        <w:tc>
          <w:tcPr>
            <w:tcW w:type="dxa" w:w="61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8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3009"/>
            <w:vMerge/>
            <w:tcBorders/>
          </w:tcPr>
          <w:p/>
        </w:tc>
      </w:tr>
      <w:tr>
        <w:trPr>
          <w:trHeight w:hRule="exact" w:val="202"/>
        </w:trPr>
        <w:tc>
          <w:tcPr>
            <w:tcW w:type="dxa" w:w="1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Cognitive</w:t>
            </w:r>
          </w:p>
        </w:tc>
        <w:tc>
          <w:tcPr>
            <w:tcW w:type="dxa" w:w="61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Confidence shown as “low / medium / high” not raw probability</w:t>
            </w:r>
          </w:p>
        </w:tc>
        <w:tc>
          <w:tcPr>
            <w:tcW w:type="dxa" w:w="1446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58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rPr>
          <w:trHeight w:hRule="exact" w:val="278"/>
        </w:trPr>
        <w:tc>
          <w:tcPr>
            <w:tcW w:type="dxa" w:w="1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(numeracy)</w:t>
            </w:r>
          </w:p>
        </w:tc>
        <w:tc>
          <w:tcPr>
            <w:tcW w:type="dxa" w:w="61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 non-numerate caregivers</w:t>
            </w:r>
          </w:p>
        </w:tc>
        <w:tc>
          <w:tcPr>
            <w:tcW w:type="dxa" w:w="3009"/>
            <w:vMerge/>
            <w:tcBorders/>
          </w:tcPr>
          <w:p/>
        </w:tc>
      </w:tr>
      <w:tr>
        <w:trPr>
          <w:trHeight w:hRule="exact" w:val="228"/>
        </w:trPr>
        <w:tc>
          <w:tcPr>
            <w:tcW w:type="dxa" w:w="1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Motor</w:t>
            </w:r>
          </w:p>
        </w:tc>
        <w:tc>
          <w:tcPr>
            <w:tcW w:type="dxa" w:w="61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Keyboard navigation; no time-out on consent screens</w:t>
            </w:r>
          </w:p>
        </w:tc>
        <w:tc>
          <w:tcPr>
            <w:tcW w:type="dxa" w:w="14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2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WCAG 2.1,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50"/>
        </w:trPr>
        <w:tc>
          <w:tcPr>
            <w:tcW w:type="dxa" w:w="1440"/>
            <w:tcBorders/>
            <w:shd w:fill="fcf0f5"/>
            <w:tcMar>
              <w:start w:w="0" w:type="dxa"/>
              <w:end w:w="0" w:type="dxa"/>
            </w:tcMar>
          </w:tcPr>
          <w:p/>
        </w:tc>
        <w:tc>
          <w:tcPr>
            <w:tcW w:type="dxa" w:w="6320"/>
            <w:tcBorders/>
            <w:shd w:fill="fcf0f5"/>
            <w:tcMar>
              <w:start w:w="0" w:type="dxa"/>
              <w:end w:w="0" w:type="dxa"/>
            </w:tcMar>
          </w:tcPr>
          <w:p/>
        </w:tc>
        <w:tc>
          <w:tcPr>
            <w:tcW w:type="dxa" w:w="13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2.2</w:t>
            </w:r>
          </w:p>
        </w:tc>
      </w:tr>
      <w:tr>
        <w:trPr>
          <w:trHeight w:hRule="exact" w:val="228"/>
        </w:trPr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Language</w:t>
            </w:r>
          </w:p>
        </w:tc>
        <w:tc>
          <w:tcPr>
            <w:tcW w:type="dxa" w:w="6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4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Translation available for the top-5 caregiver languages in the</w:t>
            </w:r>
          </w:p>
        </w:tc>
        <w:tc>
          <w:tcPr>
            <w:tcW w:type="dxa" w:w="1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—</w:t>
            </w:r>
          </w:p>
        </w:tc>
      </w:tr>
    </w:tbl>
    <w:p>
      <w:pPr>
        <w:autoSpaceDN w:val="0"/>
        <w:autoSpaceDE w:val="0"/>
        <w:widowControl/>
        <w:spacing w:line="200" w:lineRule="exact" w:before="18" w:after="32"/>
        <w:ind w:left="0" w:right="731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catchment area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38"/>
        </w:trPr>
        <w:tc>
          <w:tcPr>
            <w:tcW w:type="dxa" w:w="17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Low-bandwidth</w:t>
            </w:r>
          </w:p>
        </w:tc>
        <w:tc>
          <w:tcPr>
            <w:tcW w:type="dxa" w:w="57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Text-only fallback for caregivers on low-connectivity links</w:t>
            </w:r>
          </w:p>
        </w:tc>
        <w:tc>
          <w:tcPr>
            <w:tcW w:type="dxa" w:w="164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58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rPr>
          <w:trHeight w:hRule="exact" w:val="232"/>
        </w:trPr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Caregiver</w:t>
            </w:r>
          </w:p>
        </w:tc>
        <w:tc>
          <w:tcPr>
            <w:tcW w:type="dxa" w:w="5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In-clinic patient navigator available to walk through results</w:t>
            </w:r>
          </w:p>
        </w:tc>
        <w:tc>
          <w:tcPr>
            <w:tcW w:type="dxa" w:w="1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16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Operational</w:t>
            </w:r>
          </w:p>
        </w:tc>
      </w:tr>
    </w:tbl>
    <w:p>
      <w:pPr>
        <w:autoSpaceDN w:val="0"/>
        <w:tabs>
          <w:tab w:pos="1526" w:val="left"/>
          <w:tab w:pos="3646" w:val="left"/>
        </w:tabs>
        <w:autoSpaceDE w:val="0"/>
        <w:widowControl/>
        <w:spacing w:line="276" w:lineRule="exact" w:before="0" w:after="0"/>
        <w:ind w:left="1440" w:right="144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support </w:t>
      </w:r>
      <w:r>
        <w:br/>
      </w: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Accessibility is treated as a precondition for informed trust, not a polish task. A caregiver who </w:t>
      </w:r>
      <w:r>
        <w:tab/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cannot access the explanation cannot calibrate trust.</w:t>
      </w:r>
    </w:p>
    <w:p>
      <w:pPr>
        <w:autoSpaceDN w:val="0"/>
        <w:autoSpaceDE w:val="0"/>
        <w:widowControl/>
        <w:spacing w:line="478" w:lineRule="exact" w:before="164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Limitation.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accessibility specification is normative; the empirical study did not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accessibility outcomes per se. Future work should pilot the family-facing UI 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caregivers across the WCAG dimensions.</w:t>
      </w:r>
    </w:p>
    <w:p>
      <w:pPr>
        <w:autoSpaceDN w:val="0"/>
        <w:autoSpaceDE w:val="0"/>
        <w:widowControl/>
        <w:spacing w:line="240" w:lineRule="exact" w:before="574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J4. Cultural Sensitivity &amp; Respectful Caregiver Interaction</w:t>
      </w:r>
    </w:p>
    <w:p>
      <w:pPr>
        <w:autoSpaceDN w:val="0"/>
        <w:autoSpaceDE w:val="0"/>
        <w:widowControl/>
        <w:spacing w:line="240" w:lineRule="exact" w:before="392" w:after="0"/>
        <w:ind w:left="144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Boxes served: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Trust, Adoption.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Beneficiaries: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caregiver, family.</w:t>
      </w:r>
    </w:p>
    <w:p>
      <w:pPr>
        <w:autoSpaceDN w:val="0"/>
        <w:autoSpaceDE w:val="0"/>
        <w:widowControl/>
        <w:spacing w:line="478" w:lineRule="exact" w:before="0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The cultural premise.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ASD is interpreted differently across cultures: some commu-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nities frame neurodevelopmental difference as a clinical condition requiring intervention;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others frame it as identity, social variation, or spiritual significance. A trust ecosystem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indifferent to these frames forces a clinical vocabulary on families for whom it is alien,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 trust collapses.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718</w:t>
      </w:r>
    </w:p>
    <w:p>
      <w:pPr>
        <w:autoSpaceDN w:val="0"/>
        <w:autoSpaceDE w:val="0"/>
        <w:widowControl/>
        <w:spacing w:line="288" w:lineRule="exact" w:before="620" w:after="194"/>
        <w:ind w:left="1440" w:right="2016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5.200.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Cultural Sensitivity Operationalisation. Each cultural dimension 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mapped to a specific interaction design rule grounded in cross-cultural healthcare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communication literature.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4513"/>
        <w:gridCol w:w="4513"/>
      </w:tblGrid>
      <w:tr>
        <w:trPr>
          <w:trHeight w:hRule="exact" w:val="308"/>
        </w:trPr>
        <w:tc>
          <w:tcPr>
            <w:tcW w:type="dxa" w:w="1380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Cultural</w:t>
            </w:r>
          </w:p>
        </w:tc>
        <w:tc>
          <w:tcPr>
            <w:tcW w:type="dxa" w:w="7646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55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Operationalisation in clinician + caregiver workflow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36.0" w:type="dxa"/>
      </w:tblPr>
      <w:tblGrid>
        <w:gridCol w:w="4513"/>
        <w:gridCol w:w="4513"/>
      </w:tblGrid>
      <w:tr>
        <w:trPr>
          <w:trHeight w:hRule="exact" w:val="296"/>
        </w:trPr>
        <w:tc>
          <w:tcPr>
            <w:tcW w:type="dxa" w:w="1824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dimension</w:t>
            </w:r>
          </w:p>
        </w:tc>
        <w:tc>
          <w:tcPr>
            <w:tcW w:type="dxa" w:w="721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1824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Disclosure norms</w:t>
            </w:r>
          </w:p>
        </w:tc>
        <w:tc>
          <w:tcPr>
            <w:tcW w:type="dxa" w:w="721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11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Some cultures expect family-collective decision-making (not individual); UI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4513"/>
        <w:gridCol w:w="4513"/>
      </w:tblGrid>
      <w:tr>
        <w:trPr>
          <w:trHeight w:hRule="exact" w:val="248"/>
        </w:trPr>
        <w:tc>
          <w:tcPr>
            <w:tcW w:type="dxa" w:w="1900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8" w:after="0"/>
              <w:ind w:left="9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supports multi-caregiver consent flows</w:t>
            </w:r>
          </w:p>
        </w:tc>
      </w:tr>
      <w:tr>
        <w:trPr>
          <w:trHeight w:hRule="exact" w:val="478"/>
        </w:trPr>
        <w:tc>
          <w:tcPr>
            <w:tcW w:type="dxa" w:w="1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0" w:right="72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 xml:space="preserve">Diagnostic 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vocabulary</w:t>
            </w:r>
          </w:p>
        </w:tc>
        <w:tc>
          <w:tcPr>
            <w:tcW w:type="dxa" w:w="72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94" w:right="144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“Neurodevelopmental difference” offered alongside “ASD” in family-facing copy;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clinician selects framing in conversation</w:t>
            </w:r>
          </w:p>
        </w:tc>
      </w:tr>
      <w:tr>
        <w:trPr>
          <w:trHeight w:hRule="exact" w:val="480"/>
        </w:trPr>
        <w:tc>
          <w:tcPr>
            <w:tcW w:type="dxa" w:w="190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900"/>
            </w:tblGrid>
            <w:tr>
              <w:trPr>
                <w:trHeight w:hRule="exact" w:val="232"/>
              </w:trPr>
              <w:tc>
                <w:tcPr>
                  <w:tcW w:type="dxa" w:w="1500"/>
                  <w:tcBorders/>
                  <w:shd w:fill="fcf0f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12" w:after="0"/>
                    <w:ind w:left="60" w:right="0" w:firstLine="0"/>
                    <w:jc w:val="left"/>
                  </w:pPr>
                  <w:r>
                    <w:rPr>
                      <w:rFonts w:ascii="LMRoman10" w:hAnsi="LMRoman10" w:eastAsia="LMRoman10"/>
                      <w:b/>
                      <w:i w:val="0"/>
                      <w:color w:val="000000"/>
                      <w:sz w:val="20"/>
                    </w:rPr>
                    <w:t>Spiritual /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1900"/>
            </w:tblGrid>
            <w:tr>
              <w:trPr>
                <w:trHeight w:hRule="exact" w:val="214"/>
              </w:trPr>
              <w:tc>
                <w:tcPr>
                  <w:tcW w:type="dxa" w:w="1840"/>
                  <w:tcBorders/>
                  <w:shd w:fill="fcf0f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8" w:lineRule="exact" w:before="20" w:after="0"/>
                    <w:ind w:left="0" w:right="0" w:firstLine="0"/>
                    <w:jc w:val="center"/>
                  </w:pPr>
                  <w:r>
                    <w:rPr>
                      <w:rFonts w:ascii="LMRoman10" w:hAnsi="LMRoman10" w:eastAsia="LMRoman10"/>
                      <w:b/>
                      <w:i w:val="0"/>
                      <w:color w:val="000000"/>
                      <w:sz w:val="20"/>
                    </w:rPr>
                    <w:t>religious framings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72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94" w:right="432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Patient navigator trained to acknowledge, not contest, religious framings; AI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never adjudicates</w:t>
            </w:r>
          </w:p>
        </w:tc>
      </w:tr>
      <w:tr>
        <w:trPr>
          <w:trHeight w:hRule="exact" w:val="478"/>
        </w:trPr>
        <w:tc>
          <w:tcPr>
            <w:tcW w:type="dxa" w:w="1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60" w:right="576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 xml:space="preserve">Trust in 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institutions</w:t>
            </w:r>
          </w:p>
        </w:tc>
        <w:tc>
          <w:tcPr>
            <w:tcW w:type="dxa" w:w="72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94" w:right="576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For communities with historical reasons to distrust medical institutions, an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independent advocate role is offered</w:t>
            </w:r>
          </w:p>
        </w:tc>
      </w:tr>
      <w:tr>
        <w:trPr>
          <w:trHeight w:hRule="exact" w:val="478"/>
        </w:trPr>
        <w:tc>
          <w:tcPr>
            <w:tcW w:type="dxa" w:w="190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900"/>
            </w:tblGrid>
            <w:tr>
              <w:trPr>
                <w:trHeight w:hRule="exact" w:val="230"/>
              </w:trPr>
              <w:tc>
                <w:tcPr>
                  <w:tcW w:type="dxa" w:w="1440"/>
                  <w:tcBorders/>
                  <w:shd w:fill="fcf0f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10" w:after="0"/>
                    <w:ind w:left="60" w:right="0" w:firstLine="0"/>
                    <w:jc w:val="left"/>
                  </w:pPr>
                  <w:r>
                    <w:rPr>
                      <w:rFonts w:ascii="LMRoman10" w:hAnsi="LMRoman10" w:eastAsia="LMRoman10"/>
                      <w:b/>
                      <w:i w:val="0"/>
                      <w:color w:val="000000"/>
                      <w:sz w:val="20"/>
                    </w:rPr>
                    <w:t>Language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1900"/>
            </w:tblGrid>
            <w:tr>
              <w:trPr>
                <w:trHeight w:hRule="exact" w:val="214"/>
              </w:trPr>
              <w:tc>
                <w:tcPr>
                  <w:tcW w:type="dxa" w:w="1440"/>
                  <w:tcBorders/>
                  <w:shd w:fill="fcf0f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20" w:after="0"/>
                    <w:ind w:left="40" w:right="0" w:firstLine="0"/>
                    <w:jc w:val="left"/>
                  </w:pPr>
                  <w:r>
                    <w:rPr>
                      <w:rFonts w:ascii="LMRoman10" w:hAnsi="LMRoman10" w:eastAsia="LMRoman10"/>
                      <w:b/>
                      <w:i w:val="0"/>
                      <w:color w:val="000000"/>
                      <w:sz w:val="20"/>
                    </w:rPr>
                    <w:t>directness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72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94" w:right="288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Direct vs. indirect communication styles supported; clinician training material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covers both</w:t>
            </w:r>
          </w:p>
        </w:tc>
      </w:tr>
    </w:tbl>
    <w:p>
      <w:pPr>
        <w:autoSpaceDN w:val="0"/>
        <w:tabs>
          <w:tab w:pos="3374" w:val="left"/>
        </w:tabs>
        <w:autoSpaceDE w:val="0"/>
        <w:widowControl/>
        <w:spacing w:line="224" w:lineRule="exact" w:before="0" w:after="32"/>
        <w:ind w:left="1440" w:right="2016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Stigma sensitivity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Family-facing materials use neutral language; never “risk of” framing that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activates stigma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4513"/>
        <w:gridCol w:w="4513"/>
      </w:tblGrid>
      <w:tr>
        <w:trPr>
          <w:trHeight w:hRule="exact" w:val="478"/>
        </w:trPr>
        <w:tc>
          <w:tcPr>
            <w:tcW w:type="dxa" w:w="16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60" w:right="288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 xml:space="preserve">Community 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elders</w:t>
            </w:r>
          </w:p>
        </w:tc>
        <w:tc>
          <w:tcPr>
            <w:tcW w:type="dxa" w:w="754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394" w:right="1008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In communities where elders are decision-influential, consent workflow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accommodates their presence with caregiver permission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1440" w:right="1296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Cultural sensitivity is operationalised as workflow flexibility, not as embedded AI logic. The AI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does not classify families by culture; the workflow allows families to select the communication style and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framing they prefer.</w:t>
      </w:r>
    </w:p>
    <w:p>
      <w:pPr>
        <w:autoSpaceDN w:val="0"/>
        <w:autoSpaceDE w:val="0"/>
        <w:widowControl/>
        <w:spacing w:line="478" w:lineRule="exact" w:before="164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Limitation.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framework relies on clinician training and patient-navigator infrastruc-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ture, not algorithmic logic. This is deliberate — AI should not classify cultural identity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— but it does mean cultural sensitivity is contingent on organisational investment 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human roles, which is captured in the value-realization section (J10).</w:t>
      </w:r>
    </w:p>
    <w:p>
      <w:pPr>
        <w:autoSpaceDN w:val="0"/>
        <w:autoSpaceDE w:val="0"/>
        <w:widowControl/>
        <w:spacing w:line="240" w:lineRule="exact" w:before="574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J5. Consent, Caregiver Agency &amp; Participatory Decision-Making</w:t>
      </w:r>
    </w:p>
    <w:p>
      <w:pPr>
        <w:autoSpaceDN w:val="0"/>
        <w:autoSpaceDE w:val="0"/>
        <w:widowControl/>
        <w:spacing w:line="240" w:lineRule="exact" w:before="392" w:after="0"/>
        <w:ind w:left="144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Boxes served: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Governance, Trust.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Beneficiaries: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caregiver, child.</w:t>
      </w:r>
    </w:p>
    <w:p>
      <w:pPr>
        <w:autoSpaceDN w:val="0"/>
        <w:autoSpaceDE w:val="0"/>
        <w:widowControl/>
        <w:spacing w:line="478" w:lineRule="exact" w:before="0" w:after="0"/>
        <w:ind w:left="1440" w:right="1438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The consent premise.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Consent in AI-assisted screening must extend beyond the mo-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ment of EEG capture to cover: (a) the use of the data by the AI model, (b) the use 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 output in clinical decisions, (c) the retention and re-use of data for future model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training, and (d) the caregiver’s continuing right to revoke any of the above. A single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signature at intake does not satisfy any of these.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719</w:t>
      </w:r>
    </w:p>
    <w:p>
      <w:pPr>
        <w:autoSpaceDN w:val="0"/>
        <w:autoSpaceDE w:val="0"/>
        <w:widowControl/>
        <w:spacing w:line="240" w:lineRule="exact" w:before="668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5.201.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Consent Surface. Each consent dimension is granular, separately</w:t>
      </w:r>
    </w:p>
    <w:p>
      <w:pPr>
        <w:autoSpaceDN w:val="0"/>
        <w:autoSpaceDE w:val="0"/>
        <w:widowControl/>
        <w:spacing w:line="238" w:lineRule="exact" w:before="50" w:after="194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revocable, and audit-logged.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66"/>
        </w:trPr>
        <w:tc>
          <w:tcPr>
            <w:tcW w:type="dxa" w:w="7160"/>
            <w:gridSpan w:val="2"/>
            <w:tcBorders>
              <w:top w:sz="9.600000000000023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Consent dimension What the caregiver agrees to</w:t>
            </w:r>
          </w:p>
        </w:tc>
        <w:tc>
          <w:tcPr>
            <w:tcW w:type="dxa" w:w="1866"/>
            <w:tcBorders>
              <w:top w:sz="9.600000000000023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Revocable</w:t>
            </w:r>
          </w:p>
        </w:tc>
      </w:tr>
      <w:tr>
        <w:trPr>
          <w:trHeight w:hRule="exact" w:val="300"/>
        </w:trPr>
        <w:tc>
          <w:tcPr>
            <w:tcW w:type="dxa" w:w="160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Clinical use</w:t>
            </w:r>
          </w:p>
        </w:tc>
        <w:tc>
          <w:tcPr>
            <w:tcW w:type="dxa" w:w="556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44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EEG captured and used for this child’s screening</w:t>
            </w:r>
          </w:p>
        </w:tc>
        <w:tc>
          <w:tcPr>
            <w:tcW w:type="dxa" w:w="1866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0" w:right="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Yes (with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9026"/>
      </w:tblGrid>
      <w:tr>
        <w:trPr>
          <w:trHeight w:hRule="exact" w:val="236"/>
        </w:trPr>
        <w:tc>
          <w:tcPr>
            <w:tcW w:type="dxa" w:w="914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8" w:after="0"/>
              <w:ind w:left="0" w:right="26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caveat: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780.0" w:type="dxa"/>
      </w:tblPr>
      <w:tblGrid>
        <w:gridCol w:w="9026"/>
      </w:tblGrid>
      <w:tr>
        <w:trPr>
          <w:trHeight w:hRule="exact" w:val="240"/>
        </w:trPr>
        <w:tc>
          <w:tcPr>
            <w:tcW w:type="dxa" w:w="63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0" w:right="78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clinician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0.0" w:type="dxa"/>
      </w:tblPr>
      <w:tblGrid>
        <w:gridCol w:w="9026"/>
      </w:tblGrid>
      <w:tr>
        <w:trPr>
          <w:trHeight w:hRule="exact" w:val="238"/>
        </w:trPr>
        <w:tc>
          <w:tcPr>
            <w:tcW w:type="dxa" w:w="62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0" w:right="80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already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492"/>
        </w:trPr>
        <w:tc>
          <w:tcPr>
            <w:tcW w:type="dxa" w:w="8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AI model inference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 EEG run through the AI screening model; result shown to clinician</w:t>
            </w:r>
          </w:p>
        </w:tc>
        <w:tc>
          <w:tcPr>
            <w:tcW w:type="dxa" w:w="11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0" w:right="144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informed)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Yes</w:t>
            </w:r>
          </w:p>
        </w:tc>
      </w:tr>
      <w:tr>
        <w:trPr>
          <w:trHeight w:hRule="exact" w:val="228"/>
        </w:trPr>
        <w:tc>
          <w:tcPr>
            <w:tcW w:type="dxa" w:w="19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Decision support</w:t>
            </w:r>
          </w:p>
        </w:tc>
        <w:tc>
          <w:tcPr>
            <w:tcW w:type="dxa" w:w="61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8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AI output used as one input to clinician’s decision</w:t>
            </w:r>
          </w:p>
        </w:tc>
        <w:tc>
          <w:tcPr>
            <w:tcW w:type="dxa" w:w="110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Yes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760.0" w:type="dxa"/>
      </w:tblPr>
      <w:tblGrid>
        <w:gridCol w:w="9026"/>
      </w:tblGrid>
      <w:tr>
        <w:trPr>
          <w:trHeight w:hRule="exact" w:val="238"/>
        </w:trPr>
        <w:tc>
          <w:tcPr>
            <w:tcW w:type="dxa" w:w="63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0" w:right="76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(clinician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740.0" w:type="dxa"/>
      </w:tblPr>
      <w:tblGrid>
        <w:gridCol w:w="9026"/>
      </w:tblGrid>
      <w:tr>
        <w:trPr>
          <w:trHeight w:hRule="exact" w:val="238"/>
        </w:trPr>
        <w:tc>
          <w:tcPr>
            <w:tcW w:type="dxa" w:w="64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0" w:right="7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can decide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0.0" w:type="dxa"/>
      </w:tblPr>
      <w:tblGrid>
        <w:gridCol w:w="9026"/>
      </w:tblGrid>
      <w:tr>
        <w:trPr>
          <w:trHeight w:hRule="exact" w:val="240"/>
        </w:trPr>
        <w:tc>
          <w:tcPr>
            <w:tcW w:type="dxa" w:w="63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0" w:right="80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without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3009"/>
        <w:gridCol w:w="3009"/>
        <w:gridCol w:w="3009"/>
      </w:tblGrid>
      <w:tr>
        <w:trPr>
          <w:trHeight w:hRule="exact" w:val="226"/>
        </w:trPr>
        <w:tc>
          <w:tcPr>
            <w:tcW w:type="dxa" w:w="2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2" w:after="0"/>
              <w:ind w:left="0" w:right="244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Future training</w:t>
            </w:r>
          </w:p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58" w:after="0"/>
              <w:ind w:left="26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De-identified EEG used in future model training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0" w:right="107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AI)</w:t>
            </w:r>
          </w:p>
        </w:tc>
      </w:tr>
      <w:tr>
        <w:trPr>
          <w:trHeight w:hRule="exact" w:val="254"/>
        </w:trPr>
        <w:tc>
          <w:tcPr>
            <w:tcW w:type="dxa" w:w="3009"/>
            <w:vMerge/>
            <w:tcBorders/>
          </w:tcPr>
          <w:p/>
        </w:tc>
        <w:tc>
          <w:tcPr>
            <w:tcW w:type="dxa" w:w="3009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7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Yes, default</w:t>
            </w:r>
          </w:p>
        </w:tc>
      </w:tr>
    </w:tbl>
    <w:p>
      <w:pPr>
        <w:autoSpaceDN w:val="0"/>
        <w:autoSpaceDE w:val="0"/>
        <w:widowControl/>
        <w:spacing w:line="200" w:lineRule="exact" w:before="18" w:after="30"/>
        <w:ind w:left="0" w:right="174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OFF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30"/>
        </w:trPr>
        <w:tc>
          <w:tcPr>
            <w:tcW w:type="dxa" w:w="15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Research</w:t>
            </w:r>
          </w:p>
        </w:tc>
        <w:tc>
          <w:tcPr>
            <w:tcW w:type="dxa" w:w="55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58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De-identified record used in approved research</w:t>
            </w:r>
          </w:p>
        </w:tc>
        <w:tc>
          <w:tcPr>
            <w:tcW w:type="dxa" w:w="204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6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Yes, default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3009"/>
        <w:gridCol w:w="3009"/>
        <w:gridCol w:w="3009"/>
      </w:tblGrid>
      <w:tr>
        <w:trPr>
          <w:trHeight w:hRule="exact" w:val="228"/>
        </w:trPr>
        <w:tc>
          <w:tcPr>
            <w:tcW w:type="dxa" w:w="2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0" w:after="0"/>
              <w:ind w:left="0" w:right="372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Longitudinal</w:t>
            </w:r>
          </w:p>
        </w:tc>
        <w:tc>
          <w:tcPr>
            <w:tcW w:type="dxa" w:w="5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58" w:after="0"/>
              <w:ind w:left="40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Data joined to future visits for the same child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0" w:right="85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OFF</w:t>
            </w:r>
          </w:p>
        </w:tc>
      </w:tr>
      <w:tr>
        <w:trPr>
          <w:trHeight w:hRule="exact" w:val="252"/>
        </w:trPr>
        <w:tc>
          <w:tcPr>
            <w:tcW w:type="dxa" w:w="3009"/>
            <w:vMerge/>
            <w:tcBorders/>
          </w:tcPr>
          <w:p/>
        </w:tc>
        <w:tc>
          <w:tcPr>
            <w:tcW w:type="dxa" w:w="3009"/>
            <w:vMerge/>
            <w:tcBorders/>
          </w:tcPr>
          <w:p/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0" w:right="91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Yes</w:t>
            </w:r>
          </w:p>
        </w:tc>
      </w:tr>
    </w:tbl>
    <w:p>
      <w:pPr>
        <w:autoSpaceDN w:val="0"/>
        <w:autoSpaceDE w:val="0"/>
        <w:widowControl/>
        <w:spacing w:line="198" w:lineRule="exact" w:before="20" w:after="30"/>
        <w:ind w:left="1440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linkage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292"/>
        </w:trPr>
        <w:tc>
          <w:tcPr>
            <w:tcW w:type="dxa" w:w="1700"/>
            <w:tcBorders>
              <w:bottom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Family access</w:t>
            </w:r>
          </w:p>
        </w:tc>
        <w:tc>
          <w:tcPr>
            <w:tcW w:type="dxa" w:w="5840"/>
            <w:tcBorders>
              <w:bottom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34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Caregiver receives results via family-facing dashboard</w:t>
            </w:r>
          </w:p>
        </w:tc>
        <w:tc>
          <w:tcPr>
            <w:tcW w:type="dxa" w:w="1486"/>
            <w:tcBorders>
              <w:bottom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36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Yes</w:t>
            </w:r>
          </w:p>
        </w:tc>
      </w:tr>
    </w:tbl>
    <w:p>
      <w:pPr>
        <w:autoSpaceDN w:val="0"/>
        <w:autoSpaceDE w:val="0"/>
        <w:widowControl/>
        <w:spacing w:line="202" w:lineRule="exact" w:before="22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Default-OFF for future training and research reflects the dignity principle (J2): consent for one</w:t>
      </w:r>
    </w:p>
    <w:p>
      <w:pPr>
        <w:autoSpaceDN w:val="0"/>
        <w:autoSpaceDE w:val="0"/>
        <w:widowControl/>
        <w:spacing w:line="200" w:lineRule="exact" w:before="116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purpose does not extend to others. Granularity is a governance feature, not a UX inconvenience.</w:t>
      </w:r>
    </w:p>
    <w:p>
      <w:pPr>
        <w:autoSpaceDN w:val="0"/>
        <w:autoSpaceDE w:val="0"/>
        <w:widowControl/>
        <w:spacing w:line="240" w:lineRule="exact" w:before="402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4"/>
        </w:rPr>
        <w:t>Limitation.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Granular consent imposes UX complexity. The dissertation’s position is</w:t>
      </w:r>
    </w:p>
    <w:p>
      <w:pPr>
        <w:autoSpaceDN w:val="0"/>
        <w:autoSpaceDE w:val="0"/>
        <w:widowControl/>
        <w:spacing w:line="240" w:lineRule="exact" w:before="238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that the cost is justified by the gain in caregiver agency. Future work should evaluate</w:t>
      </w:r>
    </w:p>
    <w:p>
      <w:pPr>
        <w:autoSpaceDN w:val="0"/>
        <w:autoSpaceDE w:val="0"/>
        <w:widowControl/>
        <w:spacing w:line="240" w:lineRule="exact" w:before="238" w:after="0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whether the granularity surface is comprehensible to caregivers across literacy levels.</w:t>
      </w:r>
    </w:p>
    <w:p>
      <w:pPr>
        <w:autoSpaceDN w:val="0"/>
        <w:autoSpaceDE w:val="0"/>
        <w:widowControl/>
        <w:spacing w:line="240" w:lineRule="exact" w:before="574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J6. Longitudinal Trust &amp; Sustainable Caregiver Lifecycle</w:t>
      </w:r>
    </w:p>
    <w:p>
      <w:pPr>
        <w:autoSpaceDN w:val="0"/>
        <w:autoSpaceDE w:val="0"/>
        <w:widowControl/>
        <w:spacing w:line="240" w:lineRule="exact" w:before="392" w:after="0"/>
        <w:ind w:left="144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Boxes served: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Trust, Adoption.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Beneficiaries: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caregiver, family.</w:t>
      </w:r>
    </w:p>
    <w:p>
      <w:pPr>
        <w:autoSpaceDN w:val="0"/>
        <w:autoSpaceDE w:val="0"/>
        <w:widowControl/>
        <w:spacing w:line="240" w:lineRule="exact" w:before="238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4"/>
        </w:rPr>
        <w:t>The longitudinal premise.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Trust is not established at the first appointment; it is</w:t>
      </w:r>
    </w:p>
    <w:p>
      <w:pPr>
        <w:autoSpaceDN w:val="0"/>
        <w:autoSpaceDE w:val="0"/>
        <w:widowControl/>
        <w:spacing w:line="240" w:lineRule="exact" w:before="238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cultivated across the screening lifecycle. A trust ecosystem must therefore design for</w:t>
      </w:r>
    </w:p>
    <w:p>
      <w:pPr>
        <w:autoSpaceDN w:val="0"/>
        <w:autoSpaceDE w:val="0"/>
        <w:widowControl/>
        <w:spacing w:line="240" w:lineRule="exact" w:before="238" w:after="0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repeated, low-friction touchpoints rather than a single high-stakes encounter.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720</w:t>
      </w:r>
    </w:p>
    <w:p>
      <w:pPr>
        <w:autoSpaceDN w:val="0"/>
        <w:autoSpaceDE w:val="0"/>
        <w:widowControl/>
        <w:spacing w:line="288" w:lineRule="exact" w:before="620" w:after="194"/>
        <w:ind w:left="1440" w:right="1728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5.202.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Caregiver Trust Lifecycle. Five canonical phases with the governance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signal, the explainability signal, and the trust-supporting interaction in each.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2256"/>
        <w:gridCol w:w="2256"/>
        <w:gridCol w:w="2256"/>
        <w:gridCol w:w="2256"/>
      </w:tblGrid>
      <w:tr>
        <w:trPr>
          <w:trHeight w:hRule="exact" w:val="366"/>
        </w:trPr>
        <w:tc>
          <w:tcPr>
            <w:tcW w:type="dxa" w:w="1220"/>
            <w:tcBorders>
              <w:top w:sz="9.600000000000023" w:val="single" w:color="#00007F"/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Phase</w:t>
            </w:r>
          </w:p>
        </w:tc>
        <w:tc>
          <w:tcPr>
            <w:tcW w:type="dxa" w:w="2820"/>
            <w:tcBorders>
              <w:top w:sz="9.600000000000023" w:val="single" w:color="#00007F"/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37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Governance signal</w:t>
            </w:r>
          </w:p>
        </w:tc>
        <w:tc>
          <w:tcPr>
            <w:tcW w:type="dxa" w:w="2460"/>
            <w:tcBorders>
              <w:top w:sz="9.600000000000023" w:val="single" w:color="#00007F"/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7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Explainability signal</w:t>
            </w:r>
          </w:p>
        </w:tc>
        <w:tc>
          <w:tcPr>
            <w:tcW w:type="dxa" w:w="2526"/>
            <w:tcBorders>
              <w:top w:sz="9.600000000000023" w:val="single" w:color="#00007F"/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Trust interaction</w:t>
            </w:r>
          </w:p>
        </w:tc>
      </w:tr>
      <w:tr>
        <w:trPr>
          <w:trHeight w:hRule="exact" w:val="296"/>
        </w:trPr>
        <w:tc>
          <w:tcPr>
            <w:tcW w:type="dxa" w:w="1220"/>
            <w:vMerge w:val="restart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Pre-visit</w:t>
            </w:r>
          </w:p>
        </w:tc>
        <w:tc>
          <w:tcPr>
            <w:tcW w:type="dxa" w:w="2820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3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Plain-language description</w:t>
            </w:r>
          </w:p>
        </w:tc>
        <w:tc>
          <w:tcPr>
            <w:tcW w:type="dxa" w:w="2460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FAQ-level overview of</w:t>
            </w:r>
          </w:p>
        </w:tc>
        <w:tc>
          <w:tcPr>
            <w:tcW w:type="dxa" w:w="2526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Optional pre-visit</w:t>
            </w:r>
          </w:p>
        </w:tc>
      </w:tr>
      <w:tr>
        <w:trPr>
          <w:trHeight w:hRule="exact" w:val="240"/>
        </w:trPr>
        <w:tc>
          <w:tcPr>
            <w:tcW w:type="dxa" w:w="2256"/>
            <w:vMerge/>
            <w:tcBorders>
              <w:top w:sz="3.984800100326538" w:val="single" w:color="#00007F"/>
            </w:tcBorders>
          </w:tcPr>
          <w:p/>
        </w:tc>
        <w:tc>
          <w:tcPr>
            <w:tcW w:type="dxa" w:w="28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3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 how AI is used; consent</w:t>
            </w:r>
          </w:p>
        </w:tc>
        <w:tc>
          <w:tcPr>
            <w:tcW w:type="dxa" w:w="246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factors the AI considers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conversation with</w:t>
            </w:r>
          </w:p>
        </w:tc>
      </w:tr>
      <w:tr>
        <w:trPr>
          <w:trHeight w:hRule="exact" w:val="252"/>
        </w:trPr>
        <w:tc>
          <w:tcPr>
            <w:tcW w:type="dxa" w:w="2256"/>
            <w:vMerge/>
            <w:tcBorders>
              <w:top w:sz="3.984800100326538" w:val="single" w:color="#00007F"/>
            </w:tcBorders>
          </w:tcPr>
          <w:p/>
        </w:tc>
        <w:tc>
          <w:tcPr>
            <w:tcW w:type="dxa" w:w="28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3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options previewed</w:t>
            </w:r>
          </w:p>
        </w:tc>
        <w:tc>
          <w:tcPr>
            <w:tcW w:type="dxa" w:w="2256"/>
            <w:vMerge/>
            <w:tcBorders/>
          </w:tcPr>
          <w:p/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navigator</w:t>
            </w:r>
          </w:p>
        </w:tc>
      </w:tr>
      <w:tr>
        <w:trPr>
          <w:trHeight w:hRule="exact" w:val="208"/>
        </w:trPr>
        <w:tc>
          <w:tcPr>
            <w:tcW w:type="dxa" w:w="12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2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In-visit</w:t>
            </w:r>
          </w:p>
        </w:tc>
        <w:tc>
          <w:tcPr>
            <w:tcW w:type="dxa" w:w="28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3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Granular consent captured;</w:t>
            </w:r>
          </w:p>
        </w:tc>
        <w:tc>
          <w:tcPr>
            <w:tcW w:type="dxa" w:w="2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Real-time SHAP-derived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Clinician communicates</w:t>
            </w:r>
          </w:p>
        </w:tc>
      </w:tr>
      <w:tr>
        <w:trPr>
          <w:trHeight w:hRule="exact" w:val="240"/>
        </w:trPr>
        <w:tc>
          <w:tcPr>
            <w:tcW w:type="dxa" w:w="2256"/>
            <w:vMerge/>
            <w:tcBorders/>
          </w:tcPr>
          <w:p/>
        </w:tc>
        <w:tc>
          <w:tcPr>
            <w:tcW w:type="dxa" w:w="28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3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clinician introduces AI as</w:t>
            </w:r>
          </w:p>
        </w:tc>
        <w:tc>
          <w:tcPr>
            <w:tcW w:type="dxa" w:w="2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explanation in family-</w:t>
            </w:r>
          </w:p>
        </w:tc>
        <w:tc>
          <w:tcPr>
            <w:tcW w:type="dxa" w:w="2526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result, not AI</w:t>
            </w:r>
          </w:p>
        </w:tc>
      </w:tr>
      <w:tr>
        <w:trPr>
          <w:trHeight w:hRule="exact" w:val="270"/>
        </w:trPr>
        <w:tc>
          <w:tcPr>
            <w:tcW w:type="dxa" w:w="2256"/>
            <w:vMerge/>
            <w:tcBorders/>
          </w:tcPr>
          <w:p/>
        </w:tc>
        <w:tc>
          <w:tcPr>
            <w:tcW w:type="dxa" w:w="28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3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decision support</w:t>
            </w:r>
          </w:p>
        </w:tc>
        <w:tc>
          <w:tcPr>
            <w:tcW w:type="dxa" w:w="2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language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190"/>
        </w:trPr>
        <w:tc>
          <w:tcPr>
            <w:tcW w:type="dxa" w:w="1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Result</w:t>
            </w:r>
          </w:p>
        </w:tc>
        <w:tc>
          <w:tcPr>
            <w:tcW w:type="dxa" w:w="28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Result accompanied by</w:t>
            </w:r>
          </w:p>
        </w:tc>
        <w:tc>
          <w:tcPr>
            <w:tcW w:type="dxa" w:w="2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Top-3 contributing factors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Patient navigator available</w:t>
            </w:r>
          </w:p>
        </w:tc>
      </w:tr>
      <w:tr>
        <w:trPr>
          <w:trHeight w:hRule="exact" w:val="278"/>
        </w:trPr>
        <w:tc>
          <w:tcPr>
            <w:tcW w:type="dxa" w:w="1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delivery</w:t>
            </w:r>
          </w:p>
        </w:tc>
        <w:tc>
          <w:tcPr>
            <w:tcW w:type="dxa" w:w="28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3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registered model version +</w:t>
            </w:r>
          </w:p>
        </w:tc>
        <w:tc>
          <w:tcPr>
            <w:tcW w:type="dxa" w:w="2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 family-language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 questions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2256"/>
        <w:gridCol w:w="2256"/>
        <w:gridCol w:w="2256"/>
        <w:gridCol w:w="2256"/>
      </w:tblGrid>
      <w:tr>
        <w:trPr>
          <w:trHeight w:hRule="exact" w:val="248"/>
        </w:trPr>
        <w:tc>
          <w:tcPr>
            <w:tcW w:type="dxa" w:w="1340"/>
            <w:tcBorders/>
            <w:shd w:fill="fcf0f5"/>
            <w:tcMar>
              <w:start w:w="0" w:type="dxa"/>
              <w:end w:w="0" w:type="dxa"/>
            </w:tcMar>
          </w:tcPr>
          <w:p/>
        </w:tc>
        <w:tc>
          <w:tcPr>
            <w:tcW w:type="dxa" w:w="27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8" w:after="0"/>
              <w:ind w:left="31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fairness pass</w:t>
            </w:r>
          </w:p>
        </w:tc>
        <w:tc>
          <w:tcPr>
            <w:tcW w:type="dxa" w:w="2280"/>
            <w:tcBorders/>
            <w:shd w:fill="fcf0f5"/>
            <w:tcMar>
              <w:start w:w="0" w:type="dxa"/>
              <w:end w:w="0" w:type="dxa"/>
            </w:tcMar>
          </w:tcPr>
          <w:p/>
        </w:tc>
        <w:tc>
          <w:tcPr>
            <w:tcW w:type="dxa" w:w="2766"/>
            <w:tcBorders/>
            <w:shd w:fill="fcf0f5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4"/>
        </w:trPr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Follow-up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31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Confirmation that no silent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Caregiver-readable</w:t>
            </w:r>
          </w:p>
        </w:tc>
        <w:tc>
          <w:tcPr>
            <w:tcW w:type="dxa" w:w="2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Channel to ask questions</w:t>
            </w:r>
          </w:p>
        </w:tc>
      </w:tr>
      <w:tr>
        <w:trPr>
          <w:trHeight w:hRule="exact" w:val="274"/>
        </w:trPr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(30–90d)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4" w:after="0"/>
              <w:ind w:left="31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model change has occurred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4" w:after="0"/>
              <w:ind w:left="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summary of what was</w:t>
            </w:r>
          </w:p>
        </w:tc>
        <w:tc>
          <w:tcPr>
            <w:tcW w:type="dxa" w:w="2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4" w:after="0"/>
              <w:ind w:left="30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without re-visit</w:t>
            </w:r>
          </w:p>
        </w:tc>
      </w:tr>
    </w:tbl>
    <w:p>
      <w:pPr>
        <w:autoSpaceDN w:val="0"/>
        <w:autoSpaceDE w:val="0"/>
        <w:widowControl/>
        <w:spacing w:line="200" w:lineRule="exact" w:before="18" w:after="32"/>
        <w:ind w:left="0" w:right="586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found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2256"/>
        <w:gridCol w:w="2256"/>
        <w:gridCol w:w="2256"/>
        <w:gridCol w:w="2256"/>
      </w:tblGrid>
      <w:tr>
        <w:trPr>
          <w:trHeight w:hRule="exact" w:val="216"/>
        </w:trPr>
        <w:tc>
          <w:tcPr>
            <w:tcW w:type="dxa" w:w="1380"/>
            <w:vMerge w:val="restart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Long-term</w:t>
            </w:r>
          </w:p>
        </w:tc>
        <w:tc>
          <w:tcPr>
            <w:tcW w:type="dxa" w:w="26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Annual notification of any</w:t>
            </w:r>
          </w:p>
        </w:tc>
        <w:tc>
          <w:tcPr>
            <w:tcW w:type="dxa" w:w="24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Lifetime audit access via</w:t>
            </w:r>
          </w:p>
        </w:tc>
        <w:tc>
          <w:tcPr>
            <w:tcW w:type="dxa" w:w="264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Right-to-be-forgotten still</w:t>
            </w:r>
          </w:p>
        </w:tc>
      </w:tr>
      <w:tr>
        <w:trPr>
          <w:trHeight w:hRule="exact" w:val="262"/>
        </w:trPr>
        <w:tc>
          <w:tcPr>
            <w:tcW w:type="dxa" w:w="2256"/>
            <w:vMerge/>
            <w:tcBorders/>
          </w:tcPr>
          <w:p/>
        </w:tc>
        <w:tc>
          <w:tcPr>
            <w:tcW w:type="dxa" w:w="26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2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re-validation or recall</w:t>
            </w:r>
          </w:p>
        </w:tc>
        <w:tc>
          <w:tcPr>
            <w:tcW w:type="dxa" w:w="24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family dashboard</w:t>
            </w:r>
          </w:p>
        </w:tc>
        <w:tc>
          <w:tcPr>
            <w:tcW w:type="dxa" w:w="264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18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 force</w:t>
            </w:r>
          </w:p>
        </w:tc>
      </w:tr>
    </w:tbl>
    <w:p>
      <w:pPr>
        <w:autoSpaceDN w:val="0"/>
        <w:autoSpaceDE w:val="0"/>
        <w:widowControl/>
        <w:spacing w:line="290" w:lineRule="exact" w:before="0" w:after="0"/>
        <w:ind w:left="1440" w:right="144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Longitudinal trust is operationalised as a state machine, not as marketing copy. Each phase has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 specific governance + explainability + interaction obligation.</w:t>
      </w:r>
    </w:p>
    <w:p>
      <w:pPr>
        <w:autoSpaceDN w:val="0"/>
        <w:autoSpaceDE w:val="0"/>
        <w:widowControl/>
        <w:spacing w:line="478" w:lineRule="exact" w:before="166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Limitation.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lifecycle model is normative; the empirical pilot covered the in-visit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result-delivery phases only. Future studies should track the 30–90 day and long-term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phases.</w:t>
      </w:r>
    </w:p>
    <w:p>
      <w:pPr>
        <w:autoSpaceDN w:val="0"/>
        <w:autoSpaceDE w:val="0"/>
        <w:widowControl/>
        <w:spacing w:line="238" w:lineRule="exact" w:before="574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J7. Ecosystem Maturity Model (Human-Centered Extension of RGAIG)</w:t>
      </w:r>
    </w:p>
    <w:p>
      <w:pPr>
        <w:autoSpaceDN w:val="0"/>
        <w:autoSpaceDE w:val="0"/>
        <w:widowControl/>
        <w:spacing w:line="478" w:lineRule="exact" w:before="154" w:after="0"/>
        <w:ind w:left="1440" w:right="144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Boxes served: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Governance, Trust, Adoption.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Beneficiaries: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all (provider, clinician, care-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giver, child).</w:t>
      </w:r>
    </w:p>
    <w:p>
      <w:pPr>
        <w:autoSpaceDN w:val="0"/>
        <w:autoSpaceDE w:val="0"/>
        <w:widowControl/>
        <w:spacing w:line="478" w:lineRule="exact" w:before="2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The maturity premise.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RGAIG Maturity Framework (Ch. 1) describes provider-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organisation governance maturity in six levels. This subsection extends the same six levels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caregiver-ecosystem maturity — because a provider can score at RGAIG Level 5 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internal governance while delivering Level 1 caregiver experience, and that asymmetry 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 a defensible end-state.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721</w:t>
      </w:r>
    </w:p>
    <w:p>
      <w:pPr>
        <w:autoSpaceDN w:val="0"/>
        <w:autoSpaceDE w:val="0"/>
        <w:widowControl/>
        <w:spacing w:line="288" w:lineRule="exact" w:before="620" w:after="194"/>
        <w:ind w:left="1440" w:right="1728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5.203.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Ecosystem Maturity Model. Each RGAIG level is paired with 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caregiver-ecosystem maturity signal. A defensible system advances both axes in step.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10"/>
        </w:trPr>
        <w:tc>
          <w:tcPr>
            <w:tcW w:type="dxa" w:w="780"/>
            <w:tcBorders>
              <w:top w:sz="9.600000000000023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Level</w:t>
            </w:r>
          </w:p>
        </w:tc>
        <w:tc>
          <w:tcPr>
            <w:tcW w:type="dxa" w:w="3620"/>
            <w:tcBorders>
              <w:top w:sz="9.600000000000023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Provider (RGAIG) maturity</w:t>
            </w:r>
          </w:p>
        </w:tc>
        <w:tc>
          <w:tcPr>
            <w:tcW w:type="dxa" w:w="4626"/>
            <w:tcBorders>
              <w:top w:sz="9.600000000000023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63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Caregiver-ecosystem maturity (this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36.0" w:type="dxa"/>
      </w:tblPr>
      <w:tblGrid>
        <w:gridCol w:w="4513"/>
        <w:gridCol w:w="4513"/>
      </w:tblGrid>
      <w:tr>
        <w:trPr>
          <w:trHeight w:hRule="exact" w:val="294"/>
        </w:trPr>
        <w:tc>
          <w:tcPr>
            <w:tcW w:type="dxa" w:w="4564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7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47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work)</w:t>
            </w:r>
          </w:p>
        </w:tc>
      </w:tr>
      <w:tr>
        <w:trPr>
          <w:trHeight w:hRule="exact" w:val="300"/>
        </w:trPr>
        <w:tc>
          <w:tcPr>
            <w:tcW w:type="dxa" w:w="4564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6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1 Initial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 Ad-hoc AI use; no audit; no rollback</w:t>
            </w:r>
          </w:p>
        </w:tc>
        <w:tc>
          <w:tcPr>
            <w:tcW w:type="dxa" w:w="447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47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No family-facing surface; result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52"/>
        </w:trPr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940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2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communicated verbally only</w:t>
            </w:r>
          </w:p>
        </w:tc>
      </w:tr>
      <w:tr>
        <w:trPr>
          <w:trHeight w:hRule="exact" w:val="208"/>
        </w:trPr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2 Docu-</w:t>
            </w:r>
          </w:p>
        </w:tc>
        <w:tc>
          <w:tcPr>
            <w:tcW w:type="dxa" w:w="39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Model registry; audit log exists</w:t>
            </w:r>
          </w:p>
        </w:tc>
        <w:tc>
          <w:tcPr>
            <w:tcW w:type="dxa" w:w="4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Caregiver-readable result summary available</w:t>
            </w:r>
          </w:p>
        </w:tc>
      </w:tr>
      <w:tr>
        <w:trPr>
          <w:trHeight w:hRule="exact" w:val="270"/>
        </w:trPr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mented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4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2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on request</w:t>
            </w:r>
          </w:p>
        </w:tc>
      </w:tr>
      <w:tr>
        <w:trPr>
          <w:trHeight w:hRule="exact" w:val="190"/>
        </w:trPr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3 Mea-</w:t>
            </w:r>
          </w:p>
        </w:tc>
        <w:tc>
          <w:tcPr>
            <w:tcW w:type="dxa" w:w="39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940"/>
            </w:tblGrid>
            <w:tr>
              <w:trPr>
                <w:trHeight w:hRule="exact" w:val="458"/>
              </w:trPr>
              <w:tc>
                <w:tcPr>
                  <w:tcW w:type="dxa" w:w="3800"/>
                  <w:tcBorders/>
                  <w:shd w:fill="fcf0f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8" w:after="0"/>
                    <w:ind w:left="0" w:right="0" w:firstLine="0"/>
                    <w:jc w:val="center"/>
                  </w:pPr>
                  <w:r>
                    <w:rPr>
                      <w:rFonts w:ascii="LMRoman10" w:hAnsi="LMRoman10" w:eastAsia="LMRoman10"/>
                      <w:b w:val="0"/>
                      <w:i w:val="0"/>
                      <w:color w:val="000000"/>
                      <w:sz w:val="20"/>
                    </w:rPr>
                    <w:t>Drift, fairness measured; dashboards exist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2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Family dashboard exists; basic consent</w:t>
            </w:r>
          </w:p>
        </w:tc>
      </w:tr>
      <w:tr>
        <w:trPr>
          <w:trHeight w:hRule="exact" w:val="288"/>
        </w:trPr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sured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4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8" w:after="0"/>
              <w:ind w:left="2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granularity</w:t>
            </w:r>
          </w:p>
        </w:tc>
      </w:tr>
      <w:tr>
        <w:trPr>
          <w:trHeight w:hRule="exact" w:val="192"/>
        </w:trPr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4 Con-</w:t>
            </w:r>
          </w:p>
        </w:tc>
        <w:tc>
          <w:tcPr>
            <w:tcW w:type="dxa" w:w="39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Pre-deploy gates enforced; HITL real</w:t>
            </w:r>
          </w:p>
        </w:tc>
        <w:tc>
          <w:tcPr>
            <w:tcW w:type="dxa" w:w="4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2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Granular consent + right-to-be-forgotten;</w:t>
            </w:r>
          </w:p>
        </w:tc>
      </w:tr>
      <w:tr>
        <w:trPr>
          <w:trHeight w:hRule="exact" w:val="286"/>
        </w:trPr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trolled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4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6" w:after="0"/>
              <w:ind w:left="2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cultural sensitivity workflows live</w:t>
            </w:r>
          </w:p>
        </w:tc>
      </w:tr>
      <w:tr>
        <w:trPr>
          <w:trHeight w:hRule="exact" w:val="194"/>
        </w:trPr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5 Adap-</w:t>
            </w:r>
          </w:p>
        </w:tc>
        <w:tc>
          <w:tcPr>
            <w:tcW w:type="dxa" w:w="39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940"/>
            </w:tblGrid>
            <w:tr>
              <w:trPr>
                <w:trHeight w:hRule="exact" w:val="458"/>
              </w:trPr>
              <w:tc>
                <w:tcPr>
                  <w:tcW w:type="dxa" w:w="3640"/>
                  <w:tcBorders/>
                  <w:shd w:fill="fcf0f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8" w:after="0"/>
                    <w:ind w:left="54" w:right="0" w:firstLine="0"/>
                    <w:jc w:val="left"/>
                  </w:pPr>
                  <w:r>
                    <w:rPr>
                      <w:rFonts w:ascii="LMRoman10" w:hAnsi="LMRoman10" w:eastAsia="LMRoman10"/>
                      <w:b w:val="0"/>
                      <w:i w:val="0"/>
                      <w:color w:val="000000"/>
                      <w:sz w:val="20"/>
                    </w:rPr>
                    <w:t>Continuous monitoring; rapid rollback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2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Longitudinal trust touchpoints; caregiver</w:t>
            </w:r>
          </w:p>
        </w:tc>
      </w:tr>
      <w:tr>
        <w:trPr>
          <w:trHeight w:hRule="exact" w:val="284"/>
        </w:trPr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tive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4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4" w:after="0"/>
              <w:ind w:left="2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feedback channels operational</w:t>
            </w:r>
          </w:p>
        </w:tc>
      </w:tr>
      <w:tr>
        <w:trPr>
          <w:trHeight w:hRule="exact" w:val="196"/>
        </w:trPr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9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Cross-tenant best-practice diffusion</w:t>
            </w:r>
          </w:p>
        </w:tc>
        <w:tc>
          <w:tcPr>
            <w:tcW w:type="dxa" w:w="4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2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Community advisory in governance;</w:t>
            </w:r>
          </w:p>
        </w:tc>
      </w:tr>
      <w:tr>
        <w:trPr>
          <w:trHeight w:hRule="exact" w:val="274"/>
        </w:trPr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Opera-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4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caregivers shape model retraining priorities</w:t>
            </w:r>
          </w:p>
        </w:tc>
      </w:tr>
    </w:tbl>
    <w:p>
      <w:pPr>
        <w:autoSpaceDN w:val="0"/>
        <w:tabs>
          <w:tab w:pos="3268" w:val="left"/>
        </w:tabs>
        <w:autoSpaceDE w:val="0"/>
        <w:widowControl/>
        <w:spacing w:line="276" w:lineRule="exact" w:before="0" w:after="0"/>
        <w:ind w:left="1440" w:right="1296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tionalised </w:t>
      </w:r>
      <w:r>
        <w:br/>
      </w: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The intent is to make asymmetry visible. A provider claiming RGAIG 5 while caregivers operate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in Level 1 conditions has an audit-detectable governance gap.</w:t>
      </w:r>
    </w:p>
    <w:p>
      <w:pPr>
        <w:autoSpaceDN w:val="0"/>
        <w:autoSpaceDE w:val="0"/>
        <w:widowControl/>
        <w:spacing w:line="478" w:lineRule="exact" w:before="212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Limitation.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caregiver-axis maturity descriptions are derived from clinical commu-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nication literature and the present dissertation’s framing; large-scale validation across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institutions is future work.</w:t>
      </w:r>
    </w:p>
    <w:p>
      <w:pPr>
        <w:autoSpaceDN w:val="0"/>
        <w:autoSpaceDE w:val="0"/>
        <w:widowControl/>
        <w:spacing w:line="240" w:lineRule="exact" w:before="574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J8. Role Boundaries &amp; Dependency Prevention</w:t>
      </w:r>
    </w:p>
    <w:p>
      <w:pPr>
        <w:autoSpaceDN w:val="0"/>
        <w:autoSpaceDE w:val="0"/>
        <w:widowControl/>
        <w:spacing w:line="240" w:lineRule="exact" w:before="392" w:after="0"/>
        <w:ind w:left="144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Boxes served: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Governance, Trust.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Beneficiaries: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clinician, caregiver.</w:t>
      </w:r>
    </w:p>
    <w:p>
      <w:pPr>
        <w:autoSpaceDN w:val="0"/>
        <w:autoSpaceDE w:val="0"/>
        <w:widowControl/>
        <w:spacing w:line="478" w:lineRule="exact" w:before="0" w:after="0"/>
        <w:ind w:left="1440" w:right="1438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The boundaries premise.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threat the literature documents is not that AI takes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 decisions but that humans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stop exercising judgement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when AI is available (automa-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tion bias; Parasuraman &amp; Manzey, 2010). Role boundaries are governance controls that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 dependency formation.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722</w:t>
      </w:r>
    </w:p>
    <w:p>
      <w:pPr>
        <w:autoSpaceDN w:val="0"/>
        <w:autoSpaceDE w:val="0"/>
        <w:widowControl/>
        <w:spacing w:line="288" w:lineRule="exact" w:before="620" w:after="194"/>
        <w:ind w:left="1440" w:right="2592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5.204.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Role Boundaries. Each role has explicit authority limits 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corresponding enforcement mechanisms.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66"/>
        </w:trPr>
        <w:tc>
          <w:tcPr>
            <w:tcW w:type="dxa" w:w="1200"/>
            <w:tcBorders>
              <w:top w:sz="9.600000000000023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5200"/>
            <w:tcBorders>
              <w:top w:sz="9.600000000000023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28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Authority boundary</w:t>
            </w:r>
          </w:p>
        </w:tc>
        <w:tc>
          <w:tcPr>
            <w:tcW w:type="dxa" w:w="2626"/>
            <w:tcBorders>
              <w:top w:sz="9.600000000000023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358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Enforcement</w:t>
            </w:r>
          </w:p>
        </w:tc>
      </w:tr>
      <w:tr>
        <w:trPr>
          <w:trHeight w:hRule="exact" w:val="296"/>
        </w:trPr>
        <w:tc>
          <w:tcPr>
            <w:tcW w:type="dxa" w:w="1200"/>
            <w:vMerge w:val="restart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AI model</w:t>
            </w:r>
          </w:p>
        </w:tc>
        <w:tc>
          <w:tcPr>
            <w:tcW w:type="dxa" w:w="520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Cannot label, cannot communicate to family, cannot</w:t>
            </w:r>
          </w:p>
        </w:tc>
        <w:tc>
          <w:tcPr>
            <w:tcW w:type="dxa" w:w="2626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35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UI block; family-facing</w:t>
            </w:r>
          </w:p>
        </w:tc>
      </w:tr>
      <w:tr>
        <w:trPr>
          <w:trHeight w:hRule="exact" w:val="240"/>
        </w:trPr>
        <w:tc>
          <w:tcPr>
            <w:tcW w:type="dxa" w:w="3009"/>
            <w:vMerge/>
            <w:tcBorders>
              <w:top w:sz="3.984800100326538" w:val="single" w:color="#00007F"/>
            </w:tcBorders>
          </w:tcPr>
          <w:p/>
        </w:tc>
        <w:tc>
          <w:tcPr>
            <w:tcW w:type="dxa" w:w="52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28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adjust threshold itself</w:t>
            </w:r>
          </w:p>
        </w:tc>
        <w:tc>
          <w:tcPr>
            <w:tcW w:type="dxa" w:w="262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35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layer never renders an AI-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3009"/>
        <w:gridCol w:w="3009"/>
        <w:gridCol w:w="3009"/>
      </w:tblGrid>
      <w:tr>
        <w:trPr>
          <w:trHeight w:hRule="exact" w:val="240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4" w:after="0"/>
              <w:ind w:left="0" w:right="292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Clinician</w:t>
            </w:r>
          </w:p>
        </w:tc>
        <w:tc>
          <w:tcPr>
            <w:tcW w:type="dxa" w:w="5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Must independently assess every case; AI is one input</w:t>
            </w:r>
          </w:p>
        </w:tc>
        <w:tc>
          <w:tcPr>
            <w:tcW w:type="dxa" w:w="3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2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only label</w:t>
            </w:r>
          </w:p>
        </w:tc>
      </w:tr>
      <w:tr>
        <w:trPr>
          <w:trHeight w:hRule="exact" w:val="240"/>
        </w:trPr>
        <w:tc>
          <w:tcPr>
            <w:tcW w:type="dxa" w:w="3009"/>
            <w:vMerge/>
            <w:tcBorders/>
          </w:tcPr>
          <w:p/>
        </w:tc>
        <w:tc>
          <w:tcPr>
            <w:tcW w:type="dxa" w:w="3009"/>
            <w:vMerge/>
            <w:tcBorders/>
          </w:tcPr>
          <w:p/>
        </w:tc>
        <w:tc>
          <w:tcPr>
            <w:tcW w:type="dxa" w:w="3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2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Periodic AI-disagreement</w:t>
            </w:r>
          </w:p>
        </w:tc>
      </w:tr>
    </w:tbl>
    <w:p>
      <w:pPr>
        <w:autoSpaceDN w:val="0"/>
        <w:autoSpaceDE w:val="0"/>
        <w:widowControl/>
        <w:spacing w:line="232" w:lineRule="exact" w:before="0" w:after="32"/>
        <w:ind w:left="8198" w:right="144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audit; clinician judgement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reviewed if always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agreeing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30"/>
        </w:trPr>
        <w:tc>
          <w:tcPr>
            <w:tcW w:type="dxa" w:w="12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Caregiver</w:t>
            </w:r>
          </w:p>
        </w:tc>
        <w:tc>
          <w:tcPr>
            <w:tcW w:type="dxa" w:w="51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Always retains right to seek second opinion or refuse</w:t>
            </w:r>
          </w:p>
        </w:tc>
        <w:tc>
          <w:tcPr>
            <w:tcW w:type="dxa" w:w="26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35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Workflow surfaces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80.0" w:type="dxa"/>
      </w:tblPr>
      <w:tblGrid>
        <w:gridCol w:w="9026"/>
      </w:tblGrid>
      <w:tr>
        <w:trPr>
          <w:trHeight w:hRule="exact" w:val="236"/>
        </w:trPr>
        <w:tc>
          <w:tcPr>
            <w:tcW w:type="dxa" w:w="68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8" w:after="0"/>
              <w:ind w:left="0" w:right="94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alternatives; no dark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3009"/>
        <w:gridCol w:w="3009"/>
        <w:gridCol w:w="3009"/>
      </w:tblGrid>
      <w:tr>
        <w:trPr>
          <w:trHeight w:hRule="exact" w:val="226"/>
        </w:trPr>
        <w:tc>
          <w:tcPr>
            <w:tcW w:type="dxa" w:w="2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2" w:after="0"/>
              <w:ind w:left="0" w:right="90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Provider org</w:t>
            </w:r>
          </w:p>
        </w:tc>
        <w:tc>
          <w:tcPr>
            <w:tcW w:type="dxa" w:w="5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Cannot share data beyond consent surface; cannot retrain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patterns</w:t>
            </w:r>
          </w:p>
        </w:tc>
      </w:tr>
      <w:tr>
        <w:trPr>
          <w:trHeight w:hRule="exact" w:val="240"/>
        </w:trPr>
        <w:tc>
          <w:tcPr>
            <w:tcW w:type="dxa" w:w="3009"/>
            <w:vMerge/>
            <w:tcBorders/>
          </w:tcPr>
          <w:p/>
        </w:tc>
        <w:tc>
          <w:tcPr>
            <w:tcW w:type="dxa" w:w="3009"/>
            <w:vMerge/>
            <w:tcBorders/>
          </w:tcPr>
          <w:p/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4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Audit + tenant isolation</w:t>
            </w:r>
          </w:p>
        </w:tc>
      </w:tr>
      <w:tr>
        <w:trPr>
          <w:trHeight w:hRule="exact" w:val="252"/>
        </w:trPr>
        <w:tc>
          <w:tcPr>
            <w:tcW w:type="dxa" w:w="3009"/>
            <w:vMerge/>
            <w:tcBorders/>
          </w:tcPr>
          <w:p/>
        </w:tc>
        <w:tc>
          <w:tcPr>
            <w:tcW w:type="dxa" w:w="5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silently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1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+ family notification on</w:t>
            </w:r>
          </w:p>
        </w:tc>
      </w:tr>
    </w:tbl>
    <w:p>
      <w:pPr>
        <w:autoSpaceDN w:val="0"/>
        <w:autoSpaceDE w:val="0"/>
        <w:widowControl/>
        <w:spacing w:line="200" w:lineRule="exact" w:before="20" w:after="30"/>
        <w:ind w:left="0" w:right="261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re-validation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198"/>
        </w:trPr>
        <w:tc>
          <w:tcPr>
            <w:tcW w:type="dxa" w:w="13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Patient</w:t>
            </w:r>
          </w:p>
        </w:tc>
        <w:tc>
          <w:tcPr>
            <w:tcW w:type="dxa" w:w="4740"/>
            <w:vMerge w:val="restart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Supports family; cannot diagnose</w:t>
            </w:r>
          </w:p>
        </w:tc>
        <w:tc>
          <w:tcPr>
            <w:tcW w:type="dxa" w:w="306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73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Training + scope-of-</w:t>
            </w:r>
          </w:p>
        </w:tc>
      </w:tr>
      <w:tr>
        <w:trPr>
          <w:trHeight w:hRule="exact" w:val="282"/>
        </w:trPr>
        <w:tc>
          <w:tcPr>
            <w:tcW w:type="dxa" w:w="13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4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navigator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306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practice document</w:t>
            </w:r>
          </w:p>
        </w:tc>
      </w:tr>
      <w:tr>
        <w:trPr>
          <w:trHeight w:hRule="exact" w:val="228"/>
        </w:trPr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Researcher</w:t>
            </w:r>
          </w:p>
        </w:tc>
        <w:tc>
          <w:tcPr>
            <w:tcW w:type="dxa" w:w="4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Access only to consented, de-identified data</w:t>
            </w:r>
          </w:p>
        </w:tc>
        <w:tc>
          <w:tcPr>
            <w:tcW w:type="dxa" w:w="30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73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IRB + data-use</w:t>
            </w:r>
          </w:p>
        </w:tc>
      </w:tr>
    </w:tbl>
    <w:p>
      <w:pPr>
        <w:autoSpaceDN w:val="0"/>
        <w:tabs>
          <w:tab w:pos="2224" w:val="left"/>
          <w:tab w:pos="8198" w:val="left"/>
        </w:tabs>
        <w:autoSpaceDE w:val="0"/>
        <w:widowControl/>
        <w:spacing w:line="276" w:lineRule="exact" w:before="0" w:after="0"/>
        <w:ind w:left="1446" w:right="1440" w:firstLine="0"/>
        <w:jc w:val="left"/>
      </w:pP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agreement enforced </w:t>
      </w: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Dependency prevention is operationalised as periodic clinician-AI-disagreement audit: a clinician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who always agrees with the AI may be over-relying. This is monitored, not punished.</w:t>
      </w:r>
    </w:p>
    <w:p>
      <w:pPr>
        <w:autoSpaceDN w:val="0"/>
        <w:autoSpaceDE w:val="0"/>
        <w:widowControl/>
        <w:spacing w:line="476" w:lineRule="exact" w:before="168" w:after="0"/>
        <w:ind w:left="1440" w:right="144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Limitation.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Audit-of-agreement is a novel control surface; thresholds for “too much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agreement” must be calibrated empirically across populations.</w:t>
      </w:r>
    </w:p>
    <w:p>
      <w:pPr>
        <w:autoSpaceDN w:val="0"/>
        <w:autoSpaceDE w:val="0"/>
        <w:widowControl/>
        <w:spacing w:line="240" w:lineRule="exact" w:before="574" w:after="332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J9. Fairness &amp; Bias-Awareness Governance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2256"/>
        <w:gridCol w:w="2256"/>
        <w:gridCol w:w="2256"/>
        <w:gridCol w:w="2256"/>
      </w:tblGrid>
      <w:tr>
        <w:trPr>
          <w:trHeight w:hRule="exact" w:val="360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84" w:firstLine="0"/>
              <w:jc w:val="right"/>
            </w:pPr>
            <w:r>
              <w:rPr>
                <w:rFonts w:ascii="LMRoman12" w:hAnsi="LMRoman12" w:eastAsia="LMRoman12"/>
                <w:b w:val="0"/>
                <w:i/>
                <w:color w:val="000000"/>
                <w:sz w:val="24"/>
              </w:rPr>
              <w:t>Boxes served:</w:t>
            </w:r>
          </w:p>
        </w:tc>
        <w:tc>
          <w:tcPr>
            <w:tcW w:type="dxa" w:w="3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Governance, Trust, Adoption.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/>
                <w:color w:val="000000"/>
                <w:sz w:val="24"/>
              </w:rPr>
              <w:t>Beneficiaries:</w:t>
            </w:r>
          </w:p>
        </w:tc>
        <w:tc>
          <w:tcPr>
            <w:tcW w:type="dxa" w:w="3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0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all, particularly under-</w:t>
            </w:r>
          </w:p>
        </w:tc>
      </w:tr>
    </w:tbl>
    <w:p>
      <w:pPr>
        <w:autoSpaceDN w:val="0"/>
        <w:autoSpaceDE w:val="0"/>
        <w:widowControl/>
        <w:spacing w:line="240" w:lineRule="exact" w:before="178" w:after="0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represented sub-populations.</w:t>
      </w:r>
    </w:p>
    <w:p>
      <w:pPr>
        <w:autoSpaceDN w:val="0"/>
        <w:autoSpaceDE w:val="0"/>
        <w:widowControl/>
        <w:spacing w:line="478" w:lineRule="exact" w:before="0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The fairness premise.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ASD presentation differs by sex (chronic under-diagnosis 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girls), by ethnicity (later diagnosis in Black and Hispanic children in U.S. data),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 socio-economic status. A screening AI trained without explicit fairness gates can re-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produce and amplify these disparities. Fairness is therefore a pre-deployment governance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gate, not a post-hoc audit.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723</w:t>
      </w:r>
    </w:p>
    <w:p>
      <w:pPr>
        <w:autoSpaceDN w:val="0"/>
        <w:autoSpaceDE w:val="0"/>
        <w:widowControl/>
        <w:spacing w:line="288" w:lineRule="exact" w:before="620" w:after="194"/>
        <w:ind w:left="1440" w:right="1584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5.205.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Fairness Gate Specification. Each fairness metric has a pre-deployment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threshold and a continuous-monitoring threshold; failure of either triggers a defined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64"/>
        </w:trPr>
        <w:tc>
          <w:tcPr>
            <w:tcW w:type="dxa" w:w="1380"/>
            <w:tcBorders>
              <w:top w:sz="9.599999999999909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Metric</w:t>
            </w:r>
          </w:p>
        </w:tc>
        <w:tc>
          <w:tcPr>
            <w:tcW w:type="dxa" w:w="3940"/>
            <w:tcBorders>
              <w:top w:sz="9.599999999999909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44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Pre-deploy threshold</w:t>
            </w:r>
          </w:p>
        </w:tc>
        <w:tc>
          <w:tcPr>
            <w:tcW w:type="dxa" w:w="3706"/>
            <w:tcBorders>
              <w:top w:sz="9.599999999999909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162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Production response if failed</w:t>
            </w:r>
          </w:p>
        </w:tc>
      </w:tr>
      <w:tr>
        <w:trPr>
          <w:trHeight w:hRule="exact" w:val="302"/>
        </w:trPr>
        <w:tc>
          <w:tcPr>
            <w:tcW w:type="dxa" w:w="138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Disparate</w:t>
            </w:r>
          </w:p>
        </w:tc>
        <w:tc>
          <w:tcPr>
            <w:tcW w:type="dxa" w:w="394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440" w:right="0" w:firstLine="0"/>
              <w:jc w:val="left"/>
            </w:pPr>
            <w:r>
              <w:rPr>
                <w:rFonts w:ascii="LMMathSymbols10" w:hAnsi="LMMathSymbols10" w:eastAsia="LMMathSymbols10"/>
                <w:b w:val="0"/>
                <w:i/>
                <w:color w:val="000000"/>
                <w:sz w:val="20"/>
              </w:rPr>
              <w:t>≥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0.80 across sex, ethnicity, age bands</w:t>
            </w:r>
          </w:p>
        </w:tc>
        <w:tc>
          <w:tcPr>
            <w:tcW w:type="dxa" w:w="3706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Pre-deploy block; re-train or re-balance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48"/>
        </w:trPr>
        <w:tc>
          <w:tcPr>
            <w:tcW w:type="dxa" w:w="13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impact</w:t>
            </w:r>
          </w:p>
        </w:tc>
        <w:tc>
          <w:tcPr>
            <w:tcW w:type="dxa" w:w="3800"/>
            <w:tcBorders/>
            <w:shd w:fill="fcf0f5"/>
            <w:tcMar>
              <w:start w:w="0" w:type="dxa"/>
              <w:end w:w="0" w:type="dxa"/>
            </w:tcMar>
          </w:tcPr>
          <w:p/>
        </w:tc>
        <w:tc>
          <w:tcPr>
            <w:tcW w:type="dxa" w:w="4046"/>
            <w:tcBorders/>
            <w:shd w:fill="fcf0f5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30"/>
        </w:trPr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Equal</w:t>
            </w:r>
          </w:p>
        </w:tc>
        <w:tc>
          <w:tcPr>
            <w:tcW w:type="dxa" w:w="3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" w:after="0"/>
              <w:ind w:left="580" w:right="0" w:firstLine="0"/>
              <w:jc w:val="left"/>
            </w:pPr>
            <w:r>
              <w:rPr>
                <w:rFonts w:ascii="LMMathItalic10" w:hAnsi="LMMathItalic10" w:eastAsia="LMMathItalic10"/>
                <w:b w:val="0"/>
                <w:i/>
                <w:color w:val="000000"/>
                <w:sz w:val="20"/>
              </w:rPr>
              <w:t>&lt;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 5 percentage points TPR gap</w:t>
            </w:r>
          </w:p>
        </w:tc>
        <w:tc>
          <w:tcPr>
            <w:tcW w:type="dxa" w:w="40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44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Pre-deploy block; investigation required</w:t>
            </w:r>
          </w:p>
        </w:tc>
      </w:tr>
    </w:tbl>
    <w:p>
      <w:pPr>
        <w:autoSpaceDN w:val="0"/>
        <w:autoSpaceDE w:val="0"/>
        <w:widowControl/>
        <w:spacing w:line="200" w:lineRule="exact" w:before="20" w:after="28"/>
        <w:ind w:left="1440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opportunity gap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00"/>
        </w:trPr>
        <w:tc>
          <w:tcPr>
            <w:tcW w:type="dxa" w:w="17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Calibration</w:t>
            </w:r>
          </w:p>
        </w:tc>
        <w:tc>
          <w:tcPr>
            <w:tcW w:type="dxa" w:w="35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Calibration slopes within 0.10 across</w:t>
            </w:r>
          </w:p>
        </w:tc>
        <w:tc>
          <w:tcPr>
            <w:tcW w:type="dxa" w:w="3826"/>
            <w:vMerge w:val="restart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Re-calibration before deploy</w:t>
            </w:r>
          </w:p>
        </w:tc>
      </w:tr>
      <w:tr>
        <w:trPr>
          <w:trHeight w:hRule="exact" w:val="278"/>
        </w:trPr>
        <w:tc>
          <w:tcPr>
            <w:tcW w:type="dxa" w:w="17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parity</w:t>
            </w:r>
          </w:p>
        </w:tc>
        <w:tc>
          <w:tcPr>
            <w:tcW w:type="dxa" w:w="35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groups</w:t>
            </w:r>
          </w:p>
        </w:tc>
        <w:tc>
          <w:tcPr>
            <w:tcW w:type="dxa" w:w="3009"/>
            <w:vMerge/>
            <w:tcBorders/>
          </w:tcPr>
          <w:p/>
        </w:tc>
      </w:tr>
      <w:tr>
        <w:trPr>
          <w:trHeight w:hRule="exact" w:val="230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Sub-group AUC</w:t>
            </w:r>
          </w:p>
        </w:tc>
        <w:tc>
          <w:tcPr>
            <w:tcW w:type="dxa" w:w="3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No sub-group AUC</w:t>
            </w:r>
            <w:r>
              <w:rPr>
                <w:rFonts w:ascii="LMMathItalic10" w:hAnsi="LMMathItalic10" w:eastAsia="LMMathItalic10"/>
                <w:b w:val="0"/>
                <w:i/>
                <w:color w:val="000000"/>
                <w:sz w:val="20"/>
              </w:rPr>
              <w:t xml:space="preserve"> &gt;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 5 points below</w:t>
            </w:r>
          </w:p>
        </w:tc>
        <w:tc>
          <w:tcPr>
            <w:tcW w:type="dxa" w:w="38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Targeted data collection required</w:t>
            </w:r>
          </w:p>
        </w:tc>
      </w:tr>
    </w:tbl>
    <w:p>
      <w:pPr>
        <w:autoSpaceDN w:val="0"/>
        <w:autoSpaceDE w:val="0"/>
        <w:widowControl/>
        <w:spacing w:line="198" w:lineRule="exact" w:before="18" w:after="32"/>
        <w:ind w:left="0" w:right="807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overall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28"/>
        </w:trPr>
        <w:tc>
          <w:tcPr>
            <w:tcW w:type="dxa" w:w="16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Drift fairness</w:t>
            </w:r>
          </w:p>
        </w:tc>
        <w:tc>
          <w:tcPr>
            <w:tcW w:type="dxa" w:w="35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Quarterly re-test; same thresholds</w:t>
            </w:r>
          </w:p>
        </w:tc>
        <w:tc>
          <w:tcPr>
            <w:tcW w:type="dxa" w:w="394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Rollback to last-validated version; re-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3009"/>
        <w:gridCol w:w="3009"/>
        <w:gridCol w:w="3009"/>
      </w:tblGrid>
      <w:tr>
        <w:trPr>
          <w:trHeight w:hRule="exact" w:val="236"/>
        </w:trPr>
        <w:tc>
          <w:tcPr>
            <w:tcW w:type="dxa" w:w="2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56" w:after="0"/>
              <w:ind w:left="0" w:right="374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Caregiver-</w:t>
            </w:r>
          </w:p>
        </w:tc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56" w:after="0"/>
              <w:ind w:left="4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Family dashboard surfaces</w:t>
            </w:r>
          </w:p>
        </w:tc>
        <w:tc>
          <w:tcPr>
            <w:tcW w:type="dxa" w:w="46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68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train</w:t>
            </w:r>
          </w:p>
        </w:tc>
      </w:tr>
      <w:tr>
        <w:trPr>
          <w:trHeight w:hRule="exact" w:val="220"/>
        </w:trPr>
        <w:tc>
          <w:tcPr>
            <w:tcW w:type="dxa" w:w="3009"/>
            <w:vMerge/>
            <w:tcBorders/>
          </w:tcPr>
          <w:p/>
        </w:tc>
        <w:tc>
          <w:tcPr>
            <w:tcW w:type="dxa" w:w="3009"/>
            <w:vMerge/>
            <w:tcBorders/>
          </w:tcPr>
          <w:p/>
        </w:tc>
        <w:tc>
          <w:tcPr>
            <w:tcW w:type="dxa" w:w="4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68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Investigation; not direct retraining</w:t>
            </w:r>
          </w:p>
        </w:tc>
      </w:tr>
      <w:tr>
        <w:trPr>
          <w:trHeight w:hRule="exact" w:val="290"/>
        </w:trPr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6" w:after="0"/>
              <w:ind w:left="0" w:right="556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reported</w:t>
            </w:r>
          </w:p>
        </w:tc>
        <w:tc>
          <w:tcPr>
            <w:tcW w:type="dxa" w:w="3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4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dissatisfaction signal</w:t>
            </w:r>
          </w:p>
        </w:tc>
        <w:tc>
          <w:tcPr>
            <w:tcW w:type="dxa" w:w="4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68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trigger</w:t>
            </w:r>
          </w:p>
        </w:tc>
      </w:tr>
    </w:tbl>
    <w:p>
      <w:pPr>
        <w:autoSpaceDN w:val="0"/>
        <w:autoSpaceDE w:val="0"/>
        <w:widowControl/>
        <w:spacing w:line="268" w:lineRule="exact" w:before="0" w:after="0"/>
        <w:ind w:left="1584" w:right="1584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Pre-deploy is a hard gate; production thresholds trigger investigation and rollback, not silent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re-training. Caregiver-reported signals are surfaced but never directly modify model behaviour, to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prevent gaming.</w:t>
      </w:r>
    </w:p>
    <w:p>
      <w:pPr>
        <w:autoSpaceDN w:val="0"/>
        <w:autoSpaceDE w:val="0"/>
        <w:widowControl/>
        <w:spacing w:line="476" w:lineRule="exact" w:before="166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Limitation.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pilot dataset 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𝑛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 131) is too small for meaningful subgroup anal-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ysis; the fairness specification here is normative, with subgroup analysis flagged as 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precondition for any scale-up beyond the pilot.</w:t>
      </w:r>
    </w:p>
    <w:p>
      <w:pPr>
        <w:autoSpaceDN w:val="0"/>
        <w:autoSpaceDE w:val="0"/>
        <w:widowControl/>
        <w:spacing w:line="238" w:lineRule="exact" w:before="576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J10. Value Realization &amp; Sustainable Impact</w:t>
      </w:r>
    </w:p>
    <w:p>
      <w:pPr>
        <w:autoSpaceDN w:val="0"/>
        <w:autoSpaceDE w:val="0"/>
        <w:widowControl/>
        <w:spacing w:line="238" w:lineRule="exact" w:before="394" w:after="0"/>
        <w:ind w:left="144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Boxes served: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Adoption.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Beneficiaries: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all.</w:t>
      </w:r>
    </w:p>
    <w:p>
      <w:pPr>
        <w:autoSpaceDN w:val="0"/>
        <w:autoSpaceDE w:val="0"/>
        <w:widowControl/>
        <w:spacing w:line="478" w:lineRule="exact" w:before="2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The value premise.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 governance ecosystem that is well-designed but never sustained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becomes shelfware. Value realization makes the governance investment defensible to 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budget owner and durable across leadership change.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724</w:t>
      </w:r>
    </w:p>
    <w:p>
      <w:pPr>
        <w:autoSpaceDN w:val="0"/>
        <w:autoSpaceDE w:val="0"/>
        <w:widowControl/>
        <w:spacing w:line="288" w:lineRule="exact" w:before="620" w:after="194"/>
        <w:ind w:left="1440" w:right="1584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5.206.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Value Realization Categories. Each value category has a measurable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indicator with a baseline-and-target structure familiar to provider-organisation budget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owners.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64"/>
        </w:trPr>
        <w:tc>
          <w:tcPr>
            <w:tcW w:type="dxa" w:w="1700"/>
            <w:tcBorders>
              <w:top w:sz="9.599999999999909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Value category</w:t>
            </w:r>
          </w:p>
        </w:tc>
        <w:tc>
          <w:tcPr>
            <w:tcW w:type="dxa" w:w="3600"/>
            <w:tcBorders>
              <w:top w:sz="9.599999999999909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23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Indicator</w:t>
            </w:r>
          </w:p>
        </w:tc>
        <w:tc>
          <w:tcPr>
            <w:tcW w:type="dxa" w:w="3726"/>
            <w:tcBorders>
              <w:top w:sz="9.599999999999909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24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Measurement cadence</w:t>
            </w:r>
          </w:p>
        </w:tc>
      </w:tr>
      <w:tr>
        <w:trPr>
          <w:trHeight w:hRule="exact" w:val="300"/>
        </w:trPr>
        <w:tc>
          <w:tcPr>
            <w:tcW w:type="dxa" w:w="170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Clinical</w:t>
            </w:r>
          </w:p>
        </w:tc>
        <w:tc>
          <w:tcPr>
            <w:tcW w:type="dxa" w:w="360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Time to first specialist consultation;</w:t>
            </w:r>
          </w:p>
        </w:tc>
        <w:tc>
          <w:tcPr>
            <w:tcW w:type="dxa" w:w="3726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2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Per cohort; quarterly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50"/>
        </w:trPr>
        <w:tc>
          <w:tcPr>
            <w:tcW w:type="dxa" w:w="1280"/>
            <w:tcBorders/>
            <w:shd w:fill="fcf0f5"/>
            <w:tcMar>
              <w:start w:w="0" w:type="dxa"/>
              <w:end w:w="0" w:type="dxa"/>
            </w:tcMar>
          </w:tcPr>
          <w:p/>
        </w:tc>
        <w:tc>
          <w:tcPr>
            <w:tcW w:type="dxa" w:w="38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71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positive predictive value</w:t>
            </w:r>
          </w:p>
        </w:tc>
        <w:tc>
          <w:tcPr>
            <w:tcW w:type="dxa" w:w="4026"/>
            <w:tcBorders/>
            <w:shd w:fill="fcf0f5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8"/>
        </w:trPr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Trust</w:t>
            </w:r>
          </w:p>
        </w:tc>
        <w:tc>
          <w:tcPr>
            <w:tcW w:type="dxa" w:w="3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71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Caregiver-reported trust score;</w:t>
            </w:r>
          </w:p>
        </w:tc>
        <w:tc>
          <w:tcPr>
            <w:tcW w:type="dxa" w:w="40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48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Quarterly survey</w:t>
            </w:r>
          </w:p>
        </w:tc>
      </w:tr>
    </w:tbl>
    <w:p>
      <w:pPr>
        <w:autoSpaceDN w:val="0"/>
        <w:autoSpaceDE w:val="0"/>
        <w:widowControl/>
        <w:spacing w:line="200" w:lineRule="exact" w:before="18" w:after="32"/>
        <w:ind w:left="0" w:right="601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clinician-reported trust score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28"/>
        </w:trPr>
        <w:tc>
          <w:tcPr>
            <w:tcW w:type="dxa" w:w="14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Adoption</w:t>
            </w:r>
          </w:p>
        </w:tc>
        <w:tc>
          <w:tcPr>
            <w:tcW w:type="dxa" w:w="36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Active-clinician rate; consent-</w:t>
            </w:r>
          </w:p>
        </w:tc>
        <w:tc>
          <w:tcPr>
            <w:tcW w:type="dxa" w:w="406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5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Monthly dashboard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32"/>
        </w:trPr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Equity</w:t>
            </w:r>
          </w:p>
        </w:tc>
        <w:tc>
          <w:tcPr>
            <w:tcW w:type="dxa" w:w="38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3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completion rate</w:t>
            </w:r>
          </w:p>
        </w:tc>
        <w:tc>
          <w:tcPr>
            <w:tcW w:type="dxa" w:w="36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5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Quarterly</w:t>
            </w:r>
          </w:p>
        </w:tc>
      </w:tr>
      <w:tr>
        <w:trPr>
          <w:trHeight w:hRule="exact" w:val="258"/>
        </w:trPr>
        <w:tc>
          <w:tcPr>
            <w:tcW w:type="dxa" w:w="3009"/>
            <w:vMerge/>
            <w:tcBorders/>
          </w:tcPr>
          <w:p/>
        </w:tc>
        <w:tc>
          <w:tcPr>
            <w:tcW w:type="dxa" w:w="3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3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Sub-group adoption + outcome parity</w:t>
            </w:r>
          </w:p>
        </w:tc>
        <w:tc>
          <w:tcPr>
            <w:tcW w:type="dxa" w:w="3009"/>
            <w:vMerge/>
            <w:tcBorders/>
          </w:tcPr>
          <w:p/>
        </w:tc>
      </w:tr>
      <w:tr>
        <w:trPr>
          <w:trHeight w:hRule="exact" w:val="228"/>
        </w:trPr>
        <w:tc>
          <w:tcPr>
            <w:tcW w:type="dxa" w:w="16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Operational</w:t>
            </w:r>
          </w:p>
        </w:tc>
        <w:tc>
          <w:tcPr>
            <w:tcW w:type="dxa" w:w="38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3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Rollback events; incident rate; audit-</w:t>
            </w:r>
          </w:p>
        </w:tc>
        <w:tc>
          <w:tcPr>
            <w:tcW w:type="dxa" w:w="36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Monthly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3009"/>
        <w:gridCol w:w="3009"/>
        <w:gridCol w:w="3009"/>
      </w:tblGrid>
      <w:tr>
        <w:trPr>
          <w:trHeight w:hRule="exact" w:val="234"/>
        </w:trPr>
        <w:tc>
          <w:tcPr>
            <w:tcW w:type="dxa" w:w="2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0" w:after="0"/>
              <w:ind w:left="0" w:right="364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Governance</w:t>
            </w:r>
          </w:p>
        </w:tc>
        <w:tc>
          <w:tcPr>
            <w:tcW w:type="dxa" w:w="38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39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finding count</w:t>
            </w:r>
          </w:p>
        </w:tc>
        <w:tc>
          <w:tcPr>
            <w:tcW w:type="dxa" w:w="3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5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Quarterly</w:t>
            </w:r>
          </w:p>
        </w:tc>
      </w:tr>
      <w:tr>
        <w:trPr>
          <w:trHeight w:hRule="exact" w:val="244"/>
        </w:trPr>
        <w:tc>
          <w:tcPr>
            <w:tcW w:type="dxa" w:w="3009"/>
            <w:vMerge/>
            <w:tcBorders/>
          </w:tcPr>
          <w:p/>
        </w:tc>
        <w:tc>
          <w:tcPr>
            <w:tcW w:type="dxa" w:w="3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39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RGAIG level (J7 maturity); fairness-</w:t>
            </w:r>
          </w:p>
        </w:tc>
        <w:tc>
          <w:tcPr>
            <w:tcW w:type="dxa" w:w="300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0" w:lineRule="exact" w:before="18" w:after="32"/>
        <w:ind w:left="0" w:right="732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gate pass rate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28"/>
        </w:trPr>
        <w:tc>
          <w:tcPr>
            <w:tcW w:type="dxa" w:w="15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Caregiver</w:t>
            </w:r>
          </w:p>
        </w:tc>
        <w:tc>
          <w:tcPr>
            <w:tcW w:type="dxa" w:w="39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49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Right-to-be-forgotten honoured within</w:t>
            </w:r>
          </w:p>
        </w:tc>
        <w:tc>
          <w:tcPr>
            <w:tcW w:type="dxa" w:w="36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Monthly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3009"/>
        <w:gridCol w:w="3009"/>
        <w:gridCol w:w="3009"/>
      </w:tblGrid>
      <w:tr>
        <w:trPr>
          <w:trHeight w:hRule="exact" w:val="238"/>
        </w:trPr>
        <w:tc>
          <w:tcPr>
            <w:tcW w:type="dxa" w:w="2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2" w:after="0"/>
              <w:ind w:left="0" w:right="270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Sustainability</w:t>
            </w:r>
          </w:p>
        </w:tc>
        <w:tc>
          <w:tcPr>
            <w:tcW w:type="dxa" w:w="37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29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SLA; dissatisfaction signal</w:t>
            </w:r>
          </w:p>
        </w:tc>
        <w:tc>
          <w:tcPr>
            <w:tcW w:type="dxa" w:w="3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58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Quarterly + annually</w:t>
            </w:r>
          </w:p>
        </w:tc>
      </w:tr>
      <w:tr>
        <w:trPr>
          <w:trHeight w:hRule="exact" w:val="240"/>
        </w:trPr>
        <w:tc>
          <w:tcPr>
            <w:tcW w:type="dxa" w:w="3009"/>
            <w:vMerge/>
            <w:tcBorders/>
          </w:tcPr>
          <w:p/>
        </w:tc>
        <w:tc>
          <w:tcPr>
            <w:tcW w:type="dxa" w:w="3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29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Cost per screening (steady-state); staff</w:t>
            </w:r>
          </w:p>
        </w:tc>
        <w:tc>
          <w:tcPr>
            <w:tcW w:type="dxa" w:w="3009"/>
            <w:vMerge/>
            <w:tcBorders/>
          </w:tcPr>
          <w:p/>
        </w:tc>
      </w:tr>
    </w:tbl>
    <w:p>
      <w:pPr>
        <w:autoSpaceDN w:val="0"/>
        <w:tabs>
          <w:tab w:pos="1654" w:val="left"/>
          <w:tab w:pos="3374" w:val="left"/>
          <w:tab w:pos="5246" w:val="left"/>
        </w:tabs>
        <w:autoSpaceDE w:val="0"/>
        <w:widowControl/>
        <w:spacing w:line="268" w:lineRule="exact" w:before="0" w:after="0"/>
        <w:ind w:left="1598" w:right="1584" w:firstLine="0"/>
        <w:jc w:val="left"/>
      </w:pP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retention in screening team </w:t>
      </w:r>
      <w:r>
        <w:br/>
      </w: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Value categories are deliberately broader than clinical metrics. A system that scores well on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clinical PPV but degrades caregiver trust or equity has not realised value; the dashboard makes the </w:t>
      </w:r>
      <w:r>
        <w:tab/>
      </w:r>
      <w:r>
        <w:tab/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trade-off legible.</w:t>
      </w:r>
    </w:p>
    <w:p>
      <w:pPr>
        <w:autoSpaceDN w:val="0"/>
        <w:autoSpaceDE w:val="0"/>
        <w:widowControl/>
        <w:spacing w:line="478" w:lineRule="exact" w:before="164" w:after="0"/>
        <w:ind w:left="1440" w:right="144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Limitation.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Value realization metrics are normative; longitudinal benchmarks are absent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 this pilot and must be established as the system enters production deployment.</w:t>
      </w:r>
    </w:p>
    <w:p>
      <w:pPr>
        <w:autoSpaceDN w:val="0"/>
        <w:autoSpaceDE w:val="0"/>
        <w:widowControl/>
        <w:spacing w:line="240" w:lineRule="exact" w:before="574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Appendix J Closing Positioning</w:t>
      </w:r>
    </w:p>
    <w:p>
      <w:pPr>
        <w:autoSpaceDN w:val="0"/>
        <w:autoSpaceDE w:val="0"/>
        <w:widowControl/>
        <w:spacing w:line="478" w:lineRule="exact" w:before="154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What Appendix J adds to the dissertation.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five Defensibility Packs in Chapters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1–5 and Appendices A–I establish the empirical and methodological core: a 4-box causal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chain, six hypotheses, a piloted survey instrument, a RGAIG Maturity Framework 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hero artefact, and a locked doctoral identity. Appendix J extends the ecosystem beyond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 clinician dyad to include caregivers, children, and the surrounding social context 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threads child dignity, ecosystem maturity, role boundaries, fairness governance,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value realization through all of it. Appendix J does not introduce a new research question;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 operationalises the human-centred consequences of the existing one.</w:t>
      </w:r>
    </w:p>
    <w:p>
      <w:pPr>
        <w:autoSpaceDN w:val="0"/>
        <w:autoSpaceDE w:val="0"/>
        <w:widowControl/>
        <w:spacing w:line="478" w:lineRule="exact" w:before="2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What Appendix J does not do.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It does not propose a new bioethical theory. It does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 extend the empirical pilot 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𝑛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= 131) to caregivers. It does not claim AI can solve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disparity, cultural alienation, or dependency formation. It documents the governance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contracts and workflow specifications that, if implemented, prevent the dissertation’s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725</w:t>
      </w:r>
    </w:p>
    <w:p>
      <w:pPr>
        <w:autoSpaceDN w:val="0"/>
        <w:autoSpaceDE w:val="0"/>
        <w:widowControl/>
        <w:spacing w:line="480" w:lineRule="exact" w:before="344" w:after="0"/>
        <w:ind w:left="1440" w:right="144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screening system from becoming a well-engineered B2B product that fails the family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ecosystem on which paediatric ASD screening depends.</w:t>
      </w:r>
    </w:p>
    <w:p>
      <w:pPr>
        <w:autoSpaceDN w:val="0"/>
        <w:autoSpaceDE w:val="0"/>
        <w:widowControl/>
        <w:spacing w:line="478" w:lineRule="exact" w:before="0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Reviewer position.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If a reviewer asks “does this dissertation engage with the human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ecosystem beyond the clinician?” the candidate answers: “yes — Appendix J, ten sub-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sections, each tied to a beneficiary and a box in the causal chain, with the supervisor’s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five strategic threads operationalised as governance controls.”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sectPr w:rsidR="00FC693F" w:rsidRPr="0006063C" w:rsidSect="00034616">
      <w:pgSz w:w="11906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