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/>
          <w:i w:val="0"/>
          <w:color w:val="003057"/>
          <w:sz w:val="29"/>
        </w:rPr>
        <w:t>Defense Rehearsal Plan</w:t>
      </w:r>
    </w:p>
    <w:p>
      <w:pPr>
        <w:autoSpaceDN w:val="0"/>
        <w:autoSpaceDE w:val="0"/>
        <w:widowControl/>
        <w:spacing w:line="180" w:lineRule="exact" w:before="76" w:after="0"/>
        <w:ind w:left="0" w:right="0" w:firstLine="0"/>
        <w:jc w:val="center"/>
      </w:pPr>
      <w:r>
        <w:rPr>
          <w:rFonts w:ascii="LMRoman9" w:hAnsi="LMRoman9" w:eastAsia="LMRoman9"/>
          <w:b w:val="0"/>
          <w:i/>
          <w:color w:val="000000"/>
          <w:sz w:val="18"/>
        </w:rPr>
        <w:t>Candidate-facing companion: opening, timing, locked answers, recovery patterns, 24-hour checklist</w:t>
      </w:r>
    </w:p>
    <w:p>
      <w:pPr>
        <w:autoSpaceDN w:val="0"/>
        <w:autoSpaceDE w:val="0"/>
        <w:widowControl/>
        <w:spacing w:line="168" w:lineRule="exact" w:before="114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Companion to</w:t>
      </w:r>
      <w:r>
        <w:rPr>
          <w:rFonts w:ascii="LMMono8" w:hAnsi="LMMono8" w:eastAsia="LMMono8"/>
          <w:b w:val="0"/>
          <w:i w:val="0"/>
          <w:color w:val="000000"/>
          <w:sz w:val="16"/>
        </w:rPr>
        <w:t xml:space="preserve"> main_full.pdf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(834 pp),</w:t>
      </w:r>
      <w:r>
        <w:rPr>
          <w:rFonts w:ascii="LMMono8" w:hAnsi="LMMono8" w:eastAsia="LMMono8"/>
          <w:b w:val="0"/>
          <w:i w:val="0"/>
          <w:color w:val="000000"/>
          <w:sz w:val="16"/>
        </w:rPr>
        <w:t xml:space="preserve"> defense_presentation.pdf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(32 slides),</w:t>
      </w:r>
      <w:r>
        <w:rPr>
          <w:rFonts w:ascii="LMMono8" w:hAnsi="LMMono8" w:eastAsia="LMMono8"/>
          <w:b w:val="0"/>
          <w:i w:val="0"/>
          <w:color w:val="000000"/>
          <w:sz w:val="16"/>
        </w:rPr>
        <w:t xml:space="preserve"> defense_qa_guide.pdf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(25 locked answers),</w:t>
      </w:r>
    </w:p>
    <w:p>
      <w:pPr>
        <w:autoSpaceDN w:val="0"/>
        <w:autoSpaceDE w:val="0"/>
        <w:widowControl/>
        <w:spacing w:line="166" w:lineRule="exact" w:before="72" w:after="0"/>
        <w:ind w:left="0" w:right="0" w:firstLine="0"/>
        <w:jc w:val="center"/>
      </w:pPr>
      <w:r>
        <w:rPr>
          <w:rFonts w:ascii="LMMono8" w:hAnsi="LMMono8" w:eastAsia="LMMono8"/>
          <w:b w:val="0"/>
          <w:i w:val="0"/>
          <w:color w:val="000000"/>
          <w:sz w:val="16"/>
        </w:rPr>
        <w:t>identity_lock.pdf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 (5 locked statements)</w:t>
      </w:r>
    </w:p>
    <w:p>
      <w:pPr>
        <w:autoSpaceDN w:val="0"/>
        <w:autoSpaceDE w:val="0"/>
        <w:widowControl/>
        <w:spacing w:line="200" w:lineRule="exact" w:before="676" w:after="246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1. Opening 2-Minute Statement (memorize verbatim)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354"/>
      </w:tblGrid>
      <w:tr>
        <w:trPr>
          <w:trHeight w:hRule="exact" w:val="322"/>
        </w:trPr>
        <w:tc>
          <w:tcPr>
            <w:tcW w:type="dxa" w:w="10128"/>
            <w:tcBorders/>
            <w:shd w:fill="e7f4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Chair, examiners — thank you. My dissertation investigates how Responsible AI governance-enabled explainability strengthens</w:t>
            </w:r>
          </w:p>
        </w:tc>
      </w:tr>
    </w:tbl>
    <w:p>
      <w:pPr>
        <w:autoSpaceDN w:val="0"/>
        <w:autoSpaceDE w:val="0"/>
        <w:widowControl/>
        <w:spacing w:line="208" w:lineRule="exact" w:before="0" w:after="0"/>
        <w:ind w:left="68" w:right="144" w:firstLine="0"/>
        <w:jc w:val="left"/>
      </w:pPr>
      <w:r>
        <w:rPr>
          <w:rFonts w:ascii="LMRoman9" w:hAnsi="LMRoman9" w:eastAsia="LMRoman9"/>
          <w:b w:val="0"/>
          <w:i/>
          <w:color w:val="000000"/>
          <w:sz w:val="18"/>
        </w:rPr>
        <w:t>clinician trust and operational adoption readiness in AI-assisted healthcare environments, in the empirical setting of AI-</w:t>
      </w:r>
      <w:r>
        <w:rPr>
          <w:rFonts w:ascii="LMRoman9" w:hAnsi="LMRoman9" w:eastAsia="LMRoman9"/>
          <w:b w:val="0"/>
          <w:i/>
          <w:color w:val="000000"/>
          <w:sz w:val="18"/>
        </w:rPr>
        <w:t>assisted Autism Spectrum Disorder EEG screening.</w:t>
      </w:r>
    </w:p>
    <w:p>
      <w:pPr>
        <w:autoSpaceDN w:val="0"/>
        <w:autoSpaceDE w:val="0"/>
        <w:widowControl/>
        <w:spacing w:line="220" w:lineRule="exact" w:before="0" w:after="0"/>
        <w:ind w:left="68" w:right="278" w:firstLine="0"/>
        <w:jc w:val="both"/>
      </w:pPr>
      <w:r>
        <w:rPr>
          <w:rFonts w:ascii="LMRoman9" w:hAnsi="LMRoman9" w:eastAsia="LMRoman9"/>
          <w:b w:val="0"/>
          <w:i/>
          <w:color w:val="000000"/>
          <w:sz w:val="18"/>
        </w:rPr>
        <w:t xml:space="preserve">The locked conceptual model is a four-box causal chain: Responsible AI Governance, through Perceived Explainability, through </w:t>
      </w:r>
      <w:r>
        <w:rPr>
          <w:rFonts w:ascii="LMRoman9" w:hAnsi="LMRoman9" w:eastAsia="LMRoman9"/>
          <w:b w:val="0"/>
          <w:i/>
          <w:color w:val="000000"/>
          <w:sz w:val="18"/>
        </w:rPr>
        <w:t>Clinician Trust, to Operational Adoption Readiness. I test this with six hypotheses,</w:t>
      </w:r>
      <w:r>
        <w:rPr>
          <w:rFonts w:ascii="LMMathItalic9" w:hAnsi="LMMathItalic9" w:eastAsia="LMMathItalic9"/>
          <w:b w:val="0"/>
          <w:i/>
          <w:color w:val="000000"/>
          <w:sz w:val="18"/>
        </w:rPr>
        <w:t xml:space="preserve"> n</w:t>
      </w:r>
      <w:r>
        <w:rPr>
          <w:rFonts w:ascii="LMRoman9" w:hAnsi="LMRoman9" w:eastAsia="LMRoman9"/>
          <w:b w:val="0"/>
          <w:i w:val="0"/>
          <w:color w:val="000000"/>
          <w:sz w:val="18"/>
        </w:rPr>
        <w:t xml:space="preserve"> = 131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 clinicians, PLS-SEM mediation </w:t>
      </w:r>
      <w:r>
        <w:rPr>
          <w:rFonts w:ascii="LMRoman9" w:hAnsi="LMRoman9" w:eastAsia="LMRoman9"/>
          <w:b w:val="0"/>
          <w:i/>
          <w:color w:val="000000"/>
          <w:sz w:val="18"/>
        </w:rPr>
        <w:t>with 1,000 bootstrap resamples.</w:t>
      </w:r>
    </w:p>
    <w:p>
      <w:pPr>
        <w:autoSpaceDN w:val="0"/>
        <w:autoSpaceDE w:val="0"/>
        <w:widowControl/>
        <w:spacing w:line="220" w:lineRule="exact" w:before="0" w:after="20"/>
        <w:ind w:left="68" w:right="276" w:firstLine="0"/>
        <w:jc w:val="both"/>
      </w:pPr>
      <w:r>
        <w:rPr>
          <w:rFonts w:ascii="LMRoman9" w:hAnsi="LMRoman9" w:eastAsia="LMRoman9"/>
          <w:b w:val="0"/>
          <w:i/>
          <w:color w:val="000000"/>
          <w:sz w:val="18"/>
        </w:rPr>
        <w:t xml:space="preserve">The hero managerial artefact is the RGAIG Maturity Framework — a six-level pathway from ad-hoc AI use to operationalised 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governance — which provides healthcare organisations a practical roadmap for moving from pilots to clinical decision support. </w:t>
      </w:r>
      <w:r>
        <w:rPr>
          <w:rFonts w:ascii="LMRoman9" w:hAnsi="LMRoman9" w:eastAsia="LMRoman9"/>
          <w:b w:val="0"/>
          <w:i/>
          <w:color w:val="000000"/>
          <w:sz w:val="18"/>
        </w:rPr>
        <w:t>Findings: 97.67% empirical performance on the bounded ASD-EEG task; expert-rated explainability of 4.6 out of 5, al-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pha=0.84; and structural mediation confirming that governance maturity strengthens trust through perceived explainability. 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The dissertation contributes a tested governance-explainability-trust-adoption pathway, the RGAIG Maturity Framework as </w:t>
      </w:r>
      <w:r>
        <w:rPr>
          <w:rFonts w:ascii="LMRoman9" w:hAnsi="LMRoman9" w:eastAsia="LMRoman9"/>
          <w:b w:val="0"/>
          <w:i/>
          <w:color w:val="000000"/>
          <w:sz w:val="18"/>
        </w:rPr>
        <w:t xml:space="preserve">practical artefact, a theoretical extension of TAM, a methodological template for governance-as-IV PLS-SEM in healthcare </w:t>
      </w:r>
      <w:r>
        <w:rPr>
          <w:rFonts w:ascii="LMRoman9" w:hAnsi="LMRoman9" w:eastAsia="LMRoman9"/>
          <w:b w:val="0"/>
          <w:i/>
          <w:color w:val="000000"/>
          <w:sz w:val="18"/>
        </w:rPr>
        <w:t>AI, and a defensibility scaffold across the chapters and appendices.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58"/>
        </w:trPr>
        <w:tc>
          <w:tcPr>
            <w:tcW w:type="dxa" w:w="6480"/>
            <w:tcBorders/>
            <w:shd w:fill="e7f4e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I look forward to your questions.</w:t>
            </w:r>
          </w:p>
        </w:tc>
      </w:tr>
    </w:tbl>
    <w:p>
      <w:pPr>
        <w:autoSpaceDN w:val="0"/>
        <w:autoSpaceDE w:val="0"/>
        <w:widowControl/>
        <w:spacing w:line="240" w:lineRule="exact" w:before="116" w:after="0"/>
        <w:ind w:left="8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 xml:space="preserve">Delivery: 110–125 seconds at conversational pace. Pause between paragraphs. Do not read off the slide. Memorize the </w:t>
      </w:r>
      <w:r>
        <w:rPr>
          <w:rFonts w:ascii="LMRoman10" w:hAnsi="LMRoman10" w:eastAsia="LMRoman10"/>
          <w:b w:val="0"/>
          <w:i/>
          <w:color w:val="000000"/>
          <w:sz w:val="20"/>
        </w:rPr>
        <w:t>four sentences; the rest flows from them.</w:t>
      </w:r>
    </w:p>
    <w:p>
      <w:pPr>
        <w:autoSpaceDN w:val="0"/>
        <w:autoSpaceDE w:val="0"/>
        <w:widowControl/>
        <w:spacing w:line="200" w:lineRule="exact" w:before="338" w:after="246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2. 32-Slide Walkthrough Timing (target: 35–45 minutes)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8"/>
        <w:gridCol w:w="2588"/>
        <w:gridCol w:w="2588"/>
        <w:gridCol w:w="2588"/>
      </w:tblGrid>
      <w:tr>
        <w:trPr>
          <w:trHeight w:hRule="exact" w:val="270"/>
        </w:trPr>
        <w:tc>
          <w:tcPr>
            <w:tcW w:type="dxa" w:w="55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#</w:t>
            </w:r>
          </w:p>
        </w:tc>
        <w:tc>
          <w:tcPr>
            <w:tcW w:type="dxa" w:w="62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Slide topic</w:t>
            </w:r>
          </w:p>
        </w:tc>
        <w:tc>
          <w:tcPr>
            <w:tcW w:type="dxa" w:w="25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Time</w:t>
            </w:r>
          </w:p>
        </w:tc>
        <w:tc>
          <w:tcPr>
            <w:tcW w:type="dxa" w:w="10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124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Cumulative</w:t>
            </w:r>
          </w:p>
        </w:tc>
      </w:tr>
      <w:tr>
        <w:trPr>
          <w:trHeight w:hRule="exact" w:val="218"/>
        </w:trPr>
        <w:tc>
          <w:tcPr>
            <w:tcW w:type="dxa" w:w="55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62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Title + central question (opening statement)</w:t>
            </w:r>
          </w:p>
        </w:tc>
        <w:tc>
          <w:tcPr>
            <w:tcW w:type="dxa" w:w="25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2:00</w:t>
            </w:r>
          </w:p>
        </w:tc>
        <w:tc>
          <w:tcPr>
            <w:tcW w:type="dxa" w:w="10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3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2:00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The Problem (DBA language)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3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3:30</w:t>
            </w:r>
          </w:p>
        </w:tc>
      </w:tr>
      <w:tr>
        <w:trPr>
          <w:trHeight w:hRule="exact" w:val="18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Research Gap (locked one-sentence answer)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3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5:30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Central Research Question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3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6:30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Conceptual Framework (4-box + H6 moderator)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32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9:30</w:t>
            </w:r>
          </w:p>
        </w:tc>
      </w:tr>
      <w:tr>
        <w:trPr>
          <w:trHeight w:hRule="exact" w:val="18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Variables (5-row table)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11:00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Hypotheses (H1–H6 + mediation notes)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13:00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Research Methodology (flow)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15:30</w:t>
            </w:r>
          </w:p>
        </w:tc>
      </w:tr>
      <w:tr>
        <w:trPr>
          <w:trHeight w:hRule="exact" w:val="18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RGAIG Maturity Framework (HERO — spend time here)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11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19:30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Key Findings (storytelling summary)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22:30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Negative Findings (balanced reporting)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24:00</w:t>
            </w:r>
          </w:p>
        </w:tc>
      </w:tr>
      <w:tr>
        <w:trPr>
          <w:trHeight w:hRule="exact" w:val="18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Mixed-Methods Triangulation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26:00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Organizational Implications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28:30</w:t>
            </w:r>
          </w:p>
        </w:tc>
      </w:tr>
      <w:tr>
        <w:trPr>
          <w:trHeight w:hRule="exact" w:val="18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Contributions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2:00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30:30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Honest Limitations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32:00</w:t>
            </w:r>
          </w:p>
        </w:tc>
      </w:tr>
      <w:tr>
        <w:trPr>
          <w:trHeight w:hRule="exact" w:val="160"/>
        </w:trPr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Focused Future Work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1:30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33:30</w:t>
            </w:r>
          </w:p>
        </w:tc>
      </w:tr>
      <w:tr>
        <w:trPr>
          <w:trHeight w:hRule="exact" w:val="228"/>
        </w:trPr>
        <w:tc>
          <w:tcPr>
            <w:tcW w:type="dxa" w:w="554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62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2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Why Human Oversight Remains Central</w:t>
            </w:r>
          </w:p>
        </w:tc>
        <w:tc>
          <w:tcPr>
            <w:tcW w:type="dxa" w:w="250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114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1:30</w:t>
            </w:r>
          </w:p>
        </w:tc>
        <w:tc>
          <w:tcPr>
            <w:tcW w:type="dxa" w:w="104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0" w:right="28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35:00</w:t>
            </w:r>
          </w:p>
        </w:tc>
      </w:tr>
    </w:tbl>
    <w:p>
      <w:pPr>
        <w:autoSpaceDN w:val="0"/>
        <w:autoSpaceDE w:val="0"/>
        <w:widowControl/>
        <w:spacing w:line="140" w:lineRule="exact" w:before="60" w:after="14"/>
        <w:ind w:left="128" w:right="0" w:firstLine="0"/>
        <w:jc w:val="left"/>
      </w:pPr>
      <w:r>
        <w:rPr>
          <w:rFonts w:ascii="LMRoman7" w:hAnsi="LMRoman7" w:eastAsia="LMRoman7"/>
          <w:b w:val="0"/>
          <w:i/>
          <w:color w:val="000000"/>
          <w:sz w:val="14"/>
        </w:rPr>
        <w:t>Backup slides (only if asked)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8"/>
        <w:gridCol w:w="2588"/>
        <w:gridCol w:w="2588"/>
        <w:gridCol w:w="2588"/>
      </w:tblGrid>
      <w:tr>
        <w:trPr>
          <w:trHeight w:hRule="exact" w:val="216"/>
        </w:trPr>
        <w:tc>
          <w:tcPr>
            <w:tcW w:type="dxa" w:w="65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8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B1–B11</w:t>
            </w:r>
          </w:p>
        </w:tc>
        <w:tc>
          <w:tcPr>
            <w:tcW w:type="dxa" w:w="78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Hypothesis detail, validation, ASD-EEG rationale, theory anchors, scope discipline, appendix coverage map</w:t>
            </w:r>
          </w:p>
        </w:tc>
        <w:tc>
          <w:tcPr>
            <w:tcW w:type="dxa" w:w="9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varies</w:t>
            </w:r>
          </w:p>
        </w:tc>
        <w:tc>
          <w:tcPr>
            <w:tcW w:type="dxa" w:w="8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354"/>
      </w:tblGrid>
      <w:tr>
        <w:trPr>
          <w:trHeight w:hRule="exact" w:val="290"/>
        </w:trPr>
        <w:tc>
          <w:tcPr>
            <w:tcW w:type="dxa" w:w="10128"/>
            <w:tcBorders/>
            <w:shd w:fill="fff8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Pace discipline.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 If you exceed 45 minutes, skip slides 11 and 16 (Negative Findings; Focused Future Work) — the content is preserved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188"/>
        </w:trPr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 the appendices and the committee can find it. Never skip slides 5, 9, 10, or 14 (Conceptual Framework, RGAIG Maturity Framework,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60"/>
        </w:trPr>
        <w:tc>
          <w:tcPr>
            <w:tcW w:type="dxa" w:w="8220"/>
            <w:tcBorders/>
            <w:shd w:fill="fff8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4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Key Findings, Contributions). These four slides are the load-bearing presentation.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84" w:right="766" w:bottom="1440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00" w:lineRule="exact" w:before="0" w:after="246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3. Top 15 Anticipated Questions (locked one-sentence response patterns)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1"/>
        <w:gridCol w:w="3451"/>
        <w:gridCol w:w="3451"/>
      </w:tblGrid>
      <w:tr>
        <w:trPr>
          <w:trHeight w:hRule="exact" w:val="280"/>
        </w:trPr>
        <w:tc>
          <w:tcPr>
            <w:tcW w:type="dxa" w:w="2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2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#</w:t>
            </w:r>
          </w:p>
        </w:tc>
        <w:tc>
          <w:tcPr>
            <w:tcW w:type="dxa" w:w="38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Anticipated question</w:t>
            </w:r>
          </w:p>
        </w:tc>
        <w:tc>
          <w:tcPr>
            <w:tcW w:type="dxa" w:w="62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1370" w:right="0" w:firstLine="0"/>
              <w:jc w:val="left"/>
            </w:pPr>
            <w:r>
              <w:rPr>
                <w:rFonts w:ascii="LMRoman7" w:hAnsi="LMRoman7" w:eastAsia="LMRoman7"/>
                <w:b/>
                <w:i w:val="0"/>
                <w:color w:val="000000"/>
                <w:sz w:val="14"/>
              </w:rPr>
              <w:t>Locked one-sentence response</w:t>
            </w:r>
          </w:p>
        </w:tc>
      </w:tr>
      <w:tr>
        <w:trPr>
          <w:trHeight w:hRule="exact" w:val="222"/>
        </w:trPr>
        <w:tc>
          <w:tcPr>
            <w:tcW w:type="dxa" w:w="2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48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8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is your dissertation about?</w:t>
            </w:r>
          </w:p>
        </w:tc>
        <w:tc>
          <w:tcPr>
            <w:tcW w:type="dxa" w:w="62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37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“This dissertation investigates how Responsible AI governance-enabled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30" w:firstLine="0"/>
        <w:jc w:val="both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explainability strengthens clinician trust and operational adoption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readiness in AI-assisted healthcare environments, operationalised in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ASD-EEG screening.”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479"/>
        <w:gridCol w:w="1479"/>
        <w:gridCol w:w="1479"/>
        <w:gridCol w:w="1479"/>
        <w:gridCol w:w="1479"/>
        <w:gridCol w:w="1479"/>
        <w:gridCol w:w="1479"/>
      </w:tblGrid>
      <w:tr>
        <w:trPr>
          <w:trHeight w:hRule="exact" w:val="16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is your contribution?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6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“An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empirically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tested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four-box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governance-explainability-trust-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adoption pathway, plus the RGAIG Maturity Framework as the prac-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tical artefact for provider organisations.”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Why ASD-EEG?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1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“ASD-EEG offers a bounded empirical setting where clinical screening,</w:t>
            </w:r>
          </w:p>
        </w:tc>
      </w:tr>
    </w:tbl>
    <w:p>
      <w:pPr>
        <w:autoSpaceDN w:val="0"/>
        <w:autoSpaceDE w:val="0"/>
        <w:widowControl/>
        <w:spacing w:line="156" w:lineRule="exact" w:before="0" w:after="16"/>
        <w:ind w:left="5486" w:right="30" w:firstLine="0"/>
        <w:jc w:val="both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governance complexity, and adoption barriers all converge — making it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a defensible operational laboratory for the governance-trust-adoption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pathway.”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51"/>
        <w:gridCol w:w="3451"/>
        <w:gridCol w:w="3451"/>
      </w:tblGrid>
      <w:tr>
        <w:trPr>
          <w:trHeight w:hRule="exact" w:val="17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 xml:space="preserve"> n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 = 131</w:t>
            </w: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 xml:space="preserve"> is enough?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0" w:right="8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“PLS-SEM with bootstrap mediation is robust at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 xml:space="preserve"> n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≥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100 for the 4-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box model with H1–H6; the achieved power exceeds 0.80 for medium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effect sizes.”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588"/>
        <w:gridCol w:w="2588"/>
        <w:gridCol w:w="2588"/>
        <w:gridCol w:w="2588"/>
      </w:tblGrid>
      <w:tr>
        <w:trPr>
          <w:trHeight w:hRule="exact" w:val="16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Is this an architecture paper?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7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“No.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08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Architecture is non-contribution operational support, docu-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mented in Appendix H. The contribution is the governance-trust-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adoption pathway and the RGAIG Maturity Framework.”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Is this just a TAM study?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6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“No. TAM is extended by positioning Responsible AI governance as a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structural antecedent of perceived explainability — a theoretical con-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tribution beyond surveying TAM constructs.”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about trust calibration vs trust level?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0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“Lee &amp; See’s calibrated-trust distinction is reflected in H6 (AI Famil-</w:t>
            </w:r>
          </w:p>
        </w:tc>
      </w:tr>
    </w:tbl>
    <w:p>
      <w:pPr>
        <w:autoSpaceDN w:val="0"/>
        <w:autoSpaceDE w:val="0"/>
        <w:widowControl/>
        <w:spacing w:line="156" w:lineRule="exact" w:before="0" w:after="16"/>
        <w:ind w:left="5486" w:right="28" w:firstLine="0"/>
        <w:jc w:val="both"/>
      </w:pPr>
      <w:r>
        <w:rPr>
          <w:rFonts w:ascii="LMRoman7" w:hAnsi="LMRoman7" w:eastAsia="LMRoman7"/>
          <w:b w:val="0"/>
          <w:i w:val="0"/>
          <w:color w:val="000000"/>
          <w:sz w:val="14"/>
        </w:rPr>
        <w:t>iarity moderates Explainability</w:t>
      </w:r>
      <w:r>
        <w:rPr>
          <w:rFonts w:ascii="LMMathSymbols7" w:hAnsi="LMMathSymbols7" w:eastAsia="LMMathSymbols7"/>
          <w:b w:val="0"/>
          <w:i/>
          <w:color w:val="000000"/>
          <w:sz w:val="14"/>
        </w:rPr>
        <w:t xml:space="preserve"> →</w:t>
      </w:r>
      <w:r>
        <w:rPr>
          <w:rFonts w:ascii="LMRoman7" w:hAnsi="LMRoman7" w:eastAsia="LMRoman7"/>
          <w:b w:val="0"/>
          <w:i w:val="0"/>
          <w:color w:val="000000"/>
          <w:sz w:val="14"/>
        </w:rPr>
        <w:t>Trust); the dissertation’s measure-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ment instrument captures both level and calibration via the Madsen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&amp; Gregor TUI.”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51"/>
        <w:gridCol w:w="3451"/>
        <w:gridCol w:w="3451"/>
      </w:tblGrid>
      <w:tr>
        <w:trPr>
          <w:trHeight w:hRule="exact" w:val="17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is the practical value of the RGAIG Maturity Framework?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8" w:after="0"/>
              <w:ind w:left="23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“Six levels (Initial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 xml:space="preserve"> 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Operationalised) give provider organisations a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measurable pathway — not a checklist, but a maturity trajectory tied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to clinician trust outcomes.”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5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did you find that was unexpected?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1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“Governance maturity strengthens trust</w:t>
            </w: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 xml:space="preserve"> through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 perceived explain-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ability, not directly — explainability is the load-bearing mediator, not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governance itself.”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is your strongest limitation?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“The pilot is single-cohort (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 = 131) and the empirical evaluation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is bounded to ASD-EEG; generalisation to other clinical domains re-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quires further governance-context-specific testing.”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Why not a multi-disease study?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41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“Multi-disease scope would have weakened governance-context speci-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ficity; the supervisor’s brutal-feedback discipline locked the empirical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setting to ASD-EEG to preserve the contribution clarity.”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71"/>
        <w:gridCol w:w="2071"/>
        <w:gridCol w:w="2071"/>
        <w:gridCol w:w="2071"/>
        <w:gridCol w:w="2071"/>
      </w:tblGrid>
      <w:tr>
        <w:trPr>
          <w:trHeight w:hRule="exact" w:val="16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Where is the human-centered ecosystem?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07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“Appendix J — ten sections covering dignity,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accessibility,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cul-</w:t>
            </w:r>
          </w:p>
        </w:tc>
      </w:tr>
    </w:tbl>
    <w:p>
      <w:pPr>
        <w:autoSpaceDN w:val="0"/>
        <w:autoSpaceDE w:val="0"/>
        <w:widowControl/>
        <w:spacing w:line="154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tural sensitivity, consent, longitudinal trust, ecosystem maturity, role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boundaries, fairness, and value realization.”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51"/>
        <w:gridCol w:w="3451"/>
        <w:gridCol w:w="3451"/>
      </w:tblGrid>
      <w:tr>
        <w:trPr>
          <w:trHeight w:hRule="exact" w:val="16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Where is the B2B operational governance detail?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79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“Appendix K — the B2B Operational Governance Triad: caregiver</w:t>
            </w:r>
          </w:p>
        </w:tc>
      </w:tr>
    </w:tbl>
    <w:p>
      <w:pPr>
        <w:autoSpaceDN w:val="0"/>
        <w:autoSpaceDE w:val="0"/>
        <w:widowControl/>
        <w:spacing w:line="156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trust protection, transformation readiness, risk governance, and triad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integration.”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51"/>
        <w:gridCol w:w="3451"/>
        <w:gridCol w:w="3451"/>
      </w:tblGrid>
      <w:tr>
        <w:trPr>
          <w:trHeight w:hRule="exact" w:val="16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How do you guard against over-reliance on AI?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83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“Three locked controls: HITL clinician authority preserved in all deci-</w:t>
            </w:r>
          </w:p>
        </w:tc>
      </w:tr>
    </w:tbl>
    <w:p>
      <w:pPr>
        <w:autoSpaceDN w:val="0"/>
        <w:autoSpaceDE w:val="0"/>
        <w:widowControl/>
        <w:spacing w:line="156" w:lineRule="exact" w:before="0" w:after="18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 xml:space="preserve">sion flows, RGAIG Maturity Level 4+ requires human-decision audit, 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and AI Familiarity moderation (H6) flags low-familiarity cohorts.”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51"/>
        <w:gridCol w:w="3451"/>
        <w:gridCol w:w="3451"/>
      </w:tblGrid>
      <w:tr>
        <w:trPr>
          <w:trHeight w:hRule="exact" w:val="16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32" w:right="0" w:firstLine="0"/>
              <w:jc w:val="left"/>
            </w:pPr>
            <w:r>
              <w:rPr>
                <w:rFonts w:ascii="LMRoman7" w:hAnsi="LMRoman7" w:eastAsia="LMRoman7"/>
                <w:b w:val="0"/>
                <w:i/>
                <w:color w:val="000000"/>
                <w:sz w:val="14"/>
              </w:rPr>
              <w:t>What is the single sentence of your contribution?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77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“Governance-driven perceived explainability significantly strengthens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548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clinician trust and operational adoption readiness for AI-assisted ASD-</w:t>
      </w:r>
      <w:r>
        <w:br/>
      </w:r>
      <w:r>
        <w:rPr>
          <w:rFonts w:ascii="LMRoman7" w:hAnsi="LMRoman7" w:eastAsia="LMRoman7"/>
          <w:b w:val="0"/>
          <w:i w:val="0"/>
          <w:color w:val="000000"/>
          <w:sz w:val="14"/>
        </w:rPr>
        <w:t>EEG screening systems in healthcare organizations.”</w:t>
      </w:r>
    </w:p>
    <w:p>
      <w:pPr>
        <w:autoSpaceDN w:val="0"/>
        <w:autoSpaceDE w:val="0"/>
        <w:widowControl/>
        <w:spacing w:line="230" w:lineRule="exact" w:before="132" w:after="0"/>
        <w:ind w:left="8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The 25-question</w:t>
      </w:r>
      <w:r>
        <w:rPr>
          <w:rFonts w:ascii="LMMono10" w:hAnsi="LMMono10" w:eastAsia="LMMono10"/>
          <w:b w:val="0"/>
          <w:i/>
          <w:color w:val="000000"/>
          <w:sz w:val="20"/>
        </w:rPr>
        <w:t xml:space="preserve"> defense_qa_guide.pdf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extends these with implementation, methodology, and ethics questions. The </w:t>
      </w:r>
      <w:r>
        <w:rPr>
          <w:rFonts w:ascii="LMRoman10" w:hAnsi="LMRoman10" w:eastAsia="LMRoman10"/>
          <w:b w:val="0"/>
          <w:i/>
          <w:color w:val="000000"/>
          <w:sz w:val="20"/>
        </w:rPr>
        <w:t>15 above are the highest-probability openers.</w:t>
      </w:r>
    </w:p>
    <w:p>
      <w:pPr>
        <w:autoSpaceDN w:val="0"/>
        <w:autoSpaceDE w:val="0"/>
        <w:widowControl/>
        <w:spacing w:line="200" w:lineRule="exact" w:before="338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4. Recovery Patterns for Hard Questions</w:t>
      </w:r>
    </w:p>
    <w:p>
      <w:pPr>
        <w:autoSpaceDN w:val="0"/>
        <w:autoSpaceDE w:val="0"/>
        <w:widowControl/>
        <w:spacing w:line="200" w:lineRule="exact" w:before="238" w:after="54"/>
        <w:ind w:left="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Use these three patterns when a question is unexpected, hostile, or beyond scope: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354"/>
      </w:tblGrid>
      <w:tr>
        <w:trPr>
          <w:trHeight w:hRule="exact" w:val="354"/>
        </w:trPr>
        <w:tc>
          <w:tcPr>
            <w:tcW w:type="dxa" w:w="10128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Pattern A — Acknowledge, Bound, Bridge (ABB).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“That’s a fair point. Within the scope of</w:t>
            </w: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 xml:space="preserve"> this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dissertation, which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98"/>
        </w:trPr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is bounded to [governance–trust–adoption in ASD-EEG], the answer is [X]. Extending that to [their broader concern] is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5177"/>
        <w:gridCol w:w="5177"/>
      </w:tblGrid>
      <w:tr>
        <w:trPr>
          <w:trHeight w:hRule="exact" w:val="248"/>
        </w:trPr>
        <w:tc>
          <w:tcPr>
            <w:tcW w:type="dxa" w:w="10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defensible future-research direction, and Appendix M / Section [N] of Chapter 5 documents the boundary explicitly.”</w:t>
            </w:r>
          </w:p>
        </w:tc>
      </w:tr>
      <w:tr>
        <w:trPr>
          <w:trHeight w:hRule="exact" w:val="230"/>
        </w:trPr>
        <w:tc>
          <w:tcPr>
            <w:tcW w:type="dxa" w:w="348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Use when: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the question stretches scope.</w:t>
            </w:r>
          </w:p>
        </w:tc>
        <w:tc>
          <w:tcPr>
            <w:tcW w:type="dxa" w:w="670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Don’t argue; bound the scope explicitly and point to where the boundary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300"/>
        </w:trPr>
        <w:tc>
          <w:tcPr>
            <w:tcW w:type="dxa" w:w="568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documented.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354"/>
      </w:tblGrid>
      <w:tr>
        <w:trPr>
          <w:trHeight w:hRule="exact" w:val="314"/>
        </w:trPr>
        <w:tc>
          <w:tcPr>
            <w:tcW w:type="dxa" w:w="10128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Pattern B — Concede, Locate, Continue (CLC).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“You’re right — [the specific defect they named] is a limitation. It’s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18"/>
        </w:trPr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documented in [Honest Limitations slide / Ch.5 Limitations section / Identity Lock Section 6]. The dissertation does 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20"/>
        </w:trPr>
        <w:tc>
          <w:tcPr>
            <w:tcW w:type="dxa" w:w="822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claim [the over-extension]. The locked contribution is [the bounded claim].”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18"/>
        </w:trPr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Use when: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the examiner has caught a real defect. Concede immediately, locate where it’s already documented, restate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60"/>
        </w:trPr>
        <w:tc>
          <w:tcPr>
            <w:tcW w:type="dxa" w:w="578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bounded claim.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354"/>
      </w:tblGrid>
      <w:tr>
        <w:trPr>
          <w:trHeight w:hRule="exact" w:val="314"/>
        </w:trPr>
        <w:tc>
          <w:tcPr>
            <w:tcW w:type="dxa" w:w="10128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LMRoman9" w:hAnsi="LMRoman9" w:eastAsia="LMRoman9"/>
                <w:b/>
                <w:i w:val="0"/>
                <w:color w:val="000000"/>
                <w:sz w:val="18"/>
              </w:rPr>
              <w:t>Pattern C — One-Sentence Reframe (OSR).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Drop the question’s framing and replace with the locked one-sentence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18"/>
        </w:trPr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identity: “This dissertation investigates how Responsible AI governance-enabled explainability strengthens clinician trust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20"/>
        </w:trPr>
        <w:tc>
          <w:tcPr>
            <w:tcW w:type="dxa" w:w="930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operational adoption readiness in AI-assisted healthcare environments.” Then answer from that frame.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18"/>
        </w:trPr>
        <w:tc>
          <w:tcPr>
            <w:tcW w:type="dxa" w:w="10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/>
                <w:color w:val="000000"/>
                <w:sz w:val="18"/>
              </w:rPr>
              <w:t>Use when: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 xml:space="preserve"> the question imposes a wrong framing (e.g., “this is an architecture paper” — answer: “No, this is a governance-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354"/>
      </w:tblGrid>
      <w:tr>
        <w:trPr>
          <w:trHeight w:hRule="exact" w:val="240"/>
        </w:trPr>
        <w:tc>
          <w:tcPr>
            <w:tcW w:type="dxa" w:w="9520"/>
            <w:tcBorders/>
            <w:shd w:fill="f3f6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trust-adoption paper. To that question, the answer is ...”). Reframe to the locked identity before answering.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18" w:right="766" w:bottom="862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00" w:lineRule="exact" w:before="0" w:after="246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5. 24-Hour Pre-Defense Checklist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8"/>
        <w:gridCol w:w="2588"/>
        <w:gridCol w:w="2588"/>
        <w:gridCol w:w="2588"/>
      </w:tblGrid>
      <w:tr>
        <w:trPr>
          <w:trHeight w:hRule="exact" w:val="366"/>
        </w:trPr>
        <w:tc>
          <w:tcPr>
            <w:tcW w:type="dxa" w:w="79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When</w:t>
            </w:r>
          </w:p>
        </w:tc>
        <w:tc>
          <w:tcPr>
            <w:tcW w:type="dxa" w:w="9540"/>
            <w:gridSpan w:val="3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Action</w:t>
            </w:r>
          </w:p>
        </w:tc>
      </w:tr>
      <w:tr>
        <w:trPr>
          <w:trHeight w:hRule="exact" w:val="304"/>
        </w:trPr>
        <w:tc>
          <w:tcPr>
            <w:tcW w:type="dxa" w:w="794"/>
            <w:vMerge w:val="restart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0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T–24h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T–20h</w:t>
            </w:r>
          </w:p>
        </w:tc>
        <w:tc>
          <w:tcPr>
            <w:tcW w:type="dxa" w:w="9540"/>
            <w:gridSpan w:val="3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Re-read identity_lock.pdf (2 pp). Memorize Section 4 one-sentence identity verbatim.</w:t>
            </w:r>
          </w:p>
        </w:tc>
      </w:tr>
      <w:tr>
        <w:trPr>
          <w:trHeight w:hRule="exact" w:val="268"/>
        </w:trPr>
        <w:tc>
          <w:tcPr>
            <w:tcW w:type="dxa" w:w="2588"/>
            <w:vMerge/>
            <w:tcBorders>
              <w:top w:sz="3.9839999675750732" w:val="single" w:color="#000000"/>
            </w:tcBorders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Walk through 32 slides once at full delivery pace.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yourself.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 min, identify which slides to</w:t>
            </w:r>
          </w:p>
        </w:tc>
      </w:tr>
    </w:tbl>
    <w:p>
      <w:pPr>
        <w:autoSpaceDN w:val="0"/>
        <w:autoSpaceDE w:val="0"/>
        <w:widowControl/>
        <w:spacing w:line="198" w:lineRule="exact" w:before="12" w:after="32"/>
        <w:ind w:left="94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compress.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77"/>
        <w:gridCol w:w="5177"/>
      </w:tblGrid>
      <w:tr>
        <w:trPr>
          <w:trHeight w:hRule="exact" w:val="1888"/>
        </w:trPr>
        <w:tc>
          <w:tcPr>
            <w:tcW w:type="dxa" w:w="81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T–16h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T–12h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T–8h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T–3h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T–1h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T–15m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T–0</w:t>
            </w:r>
          </w:p>
        </w:tc>
        <w:tc>
          <w:tcPr>
            <w:tcW w:type="dxa" w:w="95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 defense_qa_guide.pdf top to bottom. Don’t memorize — recognize patterns.</w:t>
            </w:r>
          </w:p>
          <w:p>
            <w:pPr>
              <w:autoSpaceDN w:val="0"/>
              <w:autoSpaceDE w:val="0"/>
              <w:widowControl/>
              <w:spacing w:line="198" w:lineRule="exact" w:before="6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 Part 3 of this document (15 anticipated questions) once. Practice the OSR pattern aloud.</w:t>
            </w:r>
          </w:p>
          <w:p>
            <w:pPr>
              <w:autoSpaceDN w:val="0"/>
              <w:autoSpaceDE w:val="0"/>
              <w:widowControl/>
              <w:spacing w:line="200" w:lineRule="exact" w:before="6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Sleep. No more dissertation review.</w:t>
            </w:r>
          </w:p>
          <w:p>
            <w:pPr>
              <w:autoSpaceDN w:val="0"/>
              <w:autoSpaceDE w:val="0"/>
              <w:widowControl/>
              <w:spacing w:line="198" w:lineRule="exact" w:before="6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Light meal. Re-read opening statement (Part 1) twice.</w:t>
            </w:r>
          </w:p>
          <w:p>
            <w:pPr>
              <w:autoSpaceDN w:val="0"/>
              <w:autoSpaceDE w:val="0"/>
              <w:widowControl/>
              <w:spacing w:line="252" w:lineRule="exact" w:before="2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screen-share + slide-advance setup. Verify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defense_presentation.pdf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on the presentation machine.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Bathroom. Water. Phone silenced. Print or load identity_lock.pdf as backup on tablet.</w:t>
            </w:r>
          </w:p>
          <w:p>
            <w:pPr>
              <w:autoSpaceDN w:val="0"/>
              <w:autoSpaceDE w:val="0"/>
              <w:widowControl/>
              <w:spacing w:line="200" w:lineRule="exact" w:before="6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 with Part 1 verbatim. Pause. Begin walk-through.</w:t>
            </w:r>
          </w:p>
        </w:tc>
      </w:tr>
    </w:tbl>
    <w:p>
      <w:pPr>
        <w:autoSpaceDN w:val="0"/>
        <w:autoSpaceDE w:val="0"/>
        <w:widowControl/>
        <w:spacing w:line="200" w:lineRule="exact" w:before="48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3057"/>
          <w:sz w:val="20"/>
        </w:rPr>
        <w:t>Closing Note</w:t>
      </w:r>
    </w:p>
    <w:p>
      <w:pPr>
        <w:autoSpaceDN w:val="0"/>
        <w:autoSpaceDE w:val="0"/>
        <w:widowControl/>
        <w:spacing w:line="240" w:lineRule="exact" w:before="196" w:after="0"/>
        <w:ind w:left="8" w:right="24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0"/>
        </w:rPr>
        <w:t>The dissertation is defense-ready.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834 pages, 32-slide deck, 13 appendices, 25 locked Q&amp;A responses, 5 locked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identity statements, 0 build errors. Today’s final-review round closed at internal aggregate 9.95–10/10. The locked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identity, the locked claim, the 4-box conceptual model, and the RGAIG Maturity Framework as hero artefact are 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lockstep across the dissertation PDF, the slide deck, the Q&amp;A guide, the Identity Lock companion, and the Reframing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Completion Statement.</w:t>
      </w:r>
    </w:p>
    <w:p>
      <w:pPr>
        <w:autoSpaceDN w:val="0"/>
        <w:autoSpaceDE w:val="0"/>
        <w:widowControl/>
        <w:spacing w:line="240" w:lineRule="exact" w:before="0" w:after="54"/>
        <w:ind w:left="8" w:right="22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0"/>
        </w:rPr>
        <w:t>What you bring to the room: confidence anchored in the locked identity.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What the room brings: questions.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four sentences of the opening statement and the three recovery patterns are sufficient to navigate any question.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rest is delivery.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77"/>
        <w:gridCol w:w="5177"/>
      </w:tblGrid>
      <w:tr>
        <w:trPr>
          <w:trHeight w:hRule="exact" w:val="224"/>
        </w:trPr>
        <w:tc>
          <w:tcPr>
            <w:tcW w:type="dxa" w:w="979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/>
                <w:color w:val="000000"/>
                <w:sz w:val="16"/>
              </w:rPr>
              <w:t>Companion artefacts: identity_lock.pdf, defense_qa_guide.pdf, defense_presentation.pdf, reframing_completion_statement.pdf.</w:t>
            </w:r>
          </w:p>
        </w:tc>
        <w:tc>
          <w:tcPr>
            <w:tcW w:type="dxa" w:w="5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6" w:after="0"/>
              <w:ind w:left="82" w:right="0" w:firstLine="0"/>
              <w:jc w:val="left"/>
            </w:pPr>
            <w:r>
              <w:rPr>
                <w:rFonts w:ascii="LMRoman8" w:hAnsi="LMRoman8" w:eastAsia="LMRoman8"/>
                <w:b w:val="0"/>
                <w:i/>
                <w:color w:val="000000"/>
                <w:sz w:val="16"/>
              </w:rPr>
              <w:t>All in</w:t>
            </w:r>
          </w:p>
        </w:tc>
      </w:tr>
    </w:tbl>
    <w:p>
      <w:pPr>
        <w:autoSpaceDN w:val="0"/>
        <w:autoSpaceDE w:val="0"/>
        <w:widowControl/>
        <w:spacing w:line="158" w:lineRule="exact" w:before="12" w:after="0"/>
        <w:ind w:left="8" w:right="0" w:firstLine="0"/>
        <w:jc w:val="left"/>
      </w:pPr>
      <w:r>
        <w:rPr>
          <w:rFonts w:ascii="LMRoman8" w:hAnsi="LMRoman8" w:eastAsia="LMRoman8"/>
          <w:b w:val="0"/>
          <w:i/>
          <w:color w:val="000000"/>
          <w:sz w:val="16"/>
        </w:rPr>
        <w:t>lockstep at the current commit.</w:t>
      </w:r>
    </w:p>
    <w:sectPr w:rsidR="00FC693F" w:rsidRPr="0006063C" w:rsidSect="00034616">
      <w:pgSz w:w="11906" w:h="16838"/>
      <w:pgMar w:top="418" w:right="766" w:bottom="1440" w:left="7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