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Final Reframing Completion Statement</w:t>
      </w:r>
      <w:r>
        <w:br/>
      </w:r>
      <w:r>
        <w:rPr>
          <w:iCs/>
          <w:i/>
        </w:rPr>
        <w:t xml:space="preserve">Closing bookend: supervisor’s final 10/10 scoring meets executed transformation</w:t>
      </w:r>
      <w:r>
        <w:br/>
      </w:r>
      <w:r>
        <w:t xml:space="preserve">Reframing journey closed at commit</w:t>
      </w:r>
      <w:r>
        <w:t xml:space="preserve"> </w:t>
      </w:r>
      <w:r>
        <w:rPr>
          <w:rStyle w:val="VerbatimChar"/>
        </w:rPr>
        <w:t xml:space="preserve">7a03903</w:t>
      </w:r>
      <w:r>
        <w:t xml:space="preserve"> </w:t>
      </w:r>
      <w:r>
        <w:t xml:space="preserve">(18 commits, 20 critique rounds, 13 Defensibility Packs)</w:t>
      </w:r>
    </w:p>
    <w:p>
      <w:r>
        <w:pict>
          <v:rect style="width:0;height:1.5pt" o:hralign="center" o:hrstd="t" o:hr="t"/>
        </w:pict>
      </w:r>
    </w:p>
    <w:bookmarkStart w:id="20" w:name="a.-supervisors-final-overall-score"/>
    <w:p>
      <w:pPr>
        <w:pStyle w:val="Heading1"/>
      </w:pPr>
      <w:r>
        <w:t xml:space="preserve">A. Supervisor’s Final Overall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Area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Original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 sophistication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throughout reframing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Governance maturity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Defensibility Packs, RGAIG Maturity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DBA alignment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locked identity + variables + H1-H6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Human-centered framing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human-centered narrative dominates every chapter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Organizational relevance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managerial implications + maturity artefact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 discipline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14-row excluded-technologies table; scope-lock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 clarity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bounded research question; 4-box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Theoretical maturity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 extension + Trust-in-Automation + STS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Publication readiness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contribution types; locked Doctoral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Defense readiness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31-slide deck + Q&amp;A guide + Identity 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Overall dissertation readiness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5/10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9.5–10/10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Reframing journey closed.</w:t>
            </w:r>
          </w:p>
        </w:tc>
      </w:tr>
    </w:tbl>
    <w:bookmarkEnd w:id="20"/>
    <w:bookmarkStart w:id="21" w:name="X18241b18724e42cdb7d2a18b898de6c92f014c3"/>
    <w:p>
      <w:pPr>
        <w:pStyle w:val="Heading1"/>
      </w:pPr>
      <w:r>
        <w:t xml:space="preserve">B. Final 10/10 Transformation Plan vs. Executed Commits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Supervisor’s Final Plan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was executed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Remove AGI / swarm / quantum / neuromorphic / digital-twin / speculative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Control &amp; Technology Selection Pack (Appx H): 14-row excluded-technologies table;</w:t>
            </w:r>
            <w:r>
              <w:t xml:space="preserve"> </w:t>
            </w:r>
            <w:r>
              <w:t xml:space="preserve">“</w:t>
            </w:r>
            <w:r>
              <w:t xml:space="preserve">absence is deliberate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82fc217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 human-centered narrative dominate every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Defensibility Packs each open with clinician/trust/adoption framing; HITL emphasized in every workflow 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packs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Simplify the dissertation (4-box model, no further complication)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Locked 4-box conceptual model: Governance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Explainability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Trust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671a2e3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 the Maturity Model the hero 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RGAIG Maturity Framework in Ch.1 (Why-ASD area), Ch.5 (Hero Artefact table), defense slide 9, Architecture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36e8923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Strengthen theory positioning (TAM extension; calibrated trust)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Ch.2</w:t>
            </w:r>
            <w:r>
              <w:t xml:space="preserve"> </w:t>
            </w:r>
            <w:r>
              <w:t xml:space="preserve">“</w:t>
            </w:r>
            <w:r>
              <w:t xml:space="preserve">Why TAM alone insufficient</w:t>
            </w:r>
            <w:r>
              <w:t xml:space="preserve">”</w:t>
            </w:r>
            <w:r>
              <w:t xml:space="preserve">; Ch.5 Theoretical Contribution table; calibrated-trust explicit in Findings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8267b4c, 36e8923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 the architecture (never dominant again)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Pack at Appx H labelled</w:t>
            </w:r>
            <w:r>
              <w:t xml:space="preserve"> </w:t>
            </w:r>
            <w:r>
              <w:t xml:space="preserve">“</w:t>
            </w:r>
            <w:r>
              <w:t xml:space="preserve">conceptual operational support, NOT contribution</w:t>
            </w:r>
            <w:r>
              <w:t xml:space="preserve">”</w:t>
            </w:r>
            <w:r>
              <w:t xml:space="preserve">; demoted to backup slide 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0a993df, bac5d3c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 results interpretive, not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Ch.4 Findings Defensibility Pack: Organizational Interpretation table translates each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into managerial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0e69459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Defend scope aggressively (locked one-sentence answer)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guide: 25 locked one-sentence responses; Identity Check table in Identity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 354432d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Perfect the defense delivery (concise, organizational, evidence-based)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guide: 5 delivery rules + 3-step response patterns + anti-pattern reminders + 24-hour checklist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 consistency check (every chapter reinforces ONE 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Lock document: 5 locked statements + Consistency Map; Verification Map: all 20 critique rounds 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354432d, 7a03903</w:t>
            </w:r>
          </w:p>
        </w:tc>
      </w:tr>
    </w:tbl>
    <w:bookmarkEnd w:id="21"/>
    <w:bookmarkStart w:id="22" w:name="c.-locked-final-dissertation-identity"/>
    <w:p>
      <w:pPr>
        <w:pStyle w:val="Heading1"/>
      </w:pPr>
      <w:r>
        <w:t xml:space="preserve">C. Locked Final Dissertation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Locked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Final Identity (1 sentence)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This dissertation investigates how Responsible AI governance-enabled explainability strengthens clinician trust and operational adoption readiness in AI-assisted healthcare environments.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 AI Governance for Clinician Trust and Adoption of AI-Assisted ASD EEG 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Doctoral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Human-centered Responsible AI governance for healthcare AI adoption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Causal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Explainability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Trust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Adoption (4 boxes, 6 hypotheses)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Hero 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RGAIG Maturity Framework (6 levels)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Theoretical 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 extension + Trust in Automation + Socio-Technical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Empirical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ASD-EEG screening,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131</m:t>
              </m:r>
            </m:oMath>
            <w:r>
              <w:t xml:space="preserve">, PLS-SEM with bootstrap mediation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Out of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AGI, quantum AI, swarm intelligence, neuromorphic AI, autonomous diagnosis, deep multi-agent ecosystems, edge-AI deep dives, LLMOps platform engineering, service mesh internals, custom XAI variants, general LLM benchmarking, vendor-specific recommendations</w:t>
            </w:r>
          </w:p>
        </w:tc>
      </w:tr>
    </w:tbl>
    <w:bookmarkEnd w:id="22"/>
    <w:bookmarkStart w:id="23" w:name="X0661740e0dea07bca1eb01be46c2800dd46cb32"/>
    <w:p>
      <w:pPr>
        <w:pStyle w:val="Heading1"/>
      </w:pPr>
      <w:r>
        <w:t xml:space="preserve">D. Deliverables Bundle on GitHub (Final State)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in defense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main_full.pdf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777-page dissertation, 13 Defensibility Packs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main_thesis.pdf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 only, 485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appendix_volume.pdf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 A-H + references, 292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main_full.docx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version (synced v14)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topic_proposal.pdf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GGU synopsis, 24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defense_presentation.pdf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Committee-facing slide deck, 31 slides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defense_presentation.pptx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PowerPoint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defense_qa_guide.pdf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Q&amp;A preparation, 7 pages (closes #17 delivery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identity_lock.pdf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269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locked statements + Consistency Map, 2 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reframing_verification_map.pdf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20-critique-round audit trail, 2 pages landscape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reframing_completion_statement.pdf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bookend artefact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closing-acknowledgement"/>
    <w:p>
      <w:pPr>
        <w:pStyle w:val="Heading1"/>
      </w:pPr>
      <w:r>
        <w:t xml:space="preserve">Closing Acknowledgement</w:t>
      </w:r>
    </w:p>
    <w:p>
      <w:pPr>
        <w:pStyle w:val="FirstParagraph"/>
      </w:pPr>
      <w:r>
        <w:t xml:space="preserve">The supervisor’s final assessment confirms that the dissertation has moved from</w:t>
      </w:r>
      <w:r>
        <w:t xml:space="preserve"> </w:t>
      </w:r>
      <w:r>
        <w:rPr>
          <w:iCs/>
          <w:i/>
        </w:rPr>
        <w:t xml:space="preserve">enterprise AI architecture portfolio</w:t>
      </w:r>
      <w:r>
        <w:t xml:space="preserve"> </w:t>
      </w:r>
      <w:r>
        <w:t xml:space="preserve">(original framing, scope discipline 1/10) to</w:t>
      </w:r>
      <w:r>
        <w:t xml:space="preserve"> </w:t>
      </w:r>
      <w:r>
        <w:rPr>
          <w:iCs/>
          <w:i/>
        </w:rPr>
        <w:t xml:space="preserve">human-centered Responsible AI governance investigation for healthcare AI adoption</w:t>
      </w:r>
      <w:r>
        <w:t xml:space="preserve"> </w:t>
      </w:r>
      <w:r>
        <w:t xml:space="preserve">(final framing, overall readiness 9.5–10/10). The transformation was executed across 18 commits, 20 brutal-critique rounds, 13 Defensibility Packs, and 4 defense companion documents. The dissertation identity is locked, audit-verifiable, and defensible.</w:t>
      </w:r>
    </w:p>
    <w:p>
      <w:pPr>
        <w:pStyle w:val="BodyText"/>
      </w:pPr>
      <w:r>
        <w:rPr>
          <w:bCs/>
          <w:b/>
        </w:rPr>
        <w:t xml:space="preserve">The reframing journey is closed.</w:t>
      </w:r>
      <w:r>
        <w:t xml:space="preserve"> </w:t>
      </w:r>
      <w:r>
        <w:t xml:space="preserve">What remains is dissertation defense delivery using the locked identity, the locked claim, and the locked Q&amp;A guide. The work is complete.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Repository:</w:t>
      </w:r>
      <w:r>
        <w:rPr>
          <w:iCs/>
          <w:i/>
        </w:rPr>
        <w:t xml:space="preserve"> </w:t>
      </w:r>
      <w:hyperlink r:id="rId24">
        <w:r>
          <w:rPr>
            <w:rStyle w:val="Hyperlink"/>
            <w:iCs/>
            <w:i/>
          </w:rPr>
          <w:t xml:space="preserve">https://github.com/PraveenAsthana123/autismthesis</w:t>
        </w:r>
      </w:hyperlink>
      <w:r>
        <w:rPr>
          <w:iCs/>
          <w:i/>
        </w:rPr>
        <w:t xml:space="preserve">. Final commit at time of closure statement: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7a03903</w:t>
      </w:r>
      <w:r>
        <w:rPr>
          <w:iCs/>
          <w:i/>
        </w:rPr>
        <w:t xml:space="preserve">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github.com/PraveenAsthana123/autismthesi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PraveenAsthana123/autismthesi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2026-05-12T17:02:41Z</dcterms:created>
  <dcterms:modified xsi:type="dcterms:W3CDTF">2026-05-12T17:02:41Z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