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 </w:t>
      </w:r>
      <w:r>
        <w:rPr>
          <w:bCs/>
          <w:b/>
        </w:rPr>
        <w:t xml:space="preserve">Submission</w:t>
      </w:r>
      <w:r>
        <w:rPr>
          <w:bCs/>
          <w:b/>
        </w:rPr>
        <w:t xml:space="preserve"> </w:t>
      </w:r>
      <w:r>
        <w:rPr>
          <w:bCs/>
          <w:b/>
        </w:rPr>
        <w:t xml:space="preserve">Compliance</w:t>
      </w:r>
      <w:r>
        <w:rPr>
          <w:bCs/>
          <w:b/>
        </w:rPr>
        <w:t xml:space="preserve"> </w:t>
      </w:r>
      <w:r>
        <w:rPr>
          <w:bCs/>
          <w:b/>
        </w:rPr>
        <w:t xml:space="preserve">&amp;</w:t>
      </w:r>
      <w:r>
        <w:rPr>
          <w:bCs/>
          <w:b/>
        </w:rPr>
        <w:t xml:space="preserve"> </w:t>
      </w:r>
      <w:r>
        <w:rPr>
          <w:bCs/>
          <w:b/>
        </w:rPr>
        <w:t xml:space="preserve">Defense</w:t>
      </w:r>
      <w:r>
        <w:rPr>
          <w:bCs/>
          <w:b/>
        </w:rPr>
        <w:t xml:space="preserve"> </w:t>
      </w:r>
      <w:r>
        <w:rPr>
          <w:bCs/>
          <w:b/>
        </w:rPr>
        <w:t xml:space="preserve">Readiness</w:t>
      </w:r>
      <w:r>
        <w:rPr>
          <w:bCs/>
          <w:b/>
        </w:rPr>
        <w:t xml:space="preserve"> </w:t>
      </w:r>
      <w:r>
        <w:rPr>
          <w:bCs/>
          <w:b/>
        </w:rPr>
        <w:t xml:space="preserve">Pack</w:t>
      </w:r>
    </w:p>
    <w:p>
      <w:pPr>
        <w:pStyle w:val="Author"/>
      </w:pPr>
      <w:r>
        <w:t xml:space="preserve">Praveen</w:t>
      </w:r>
      <w:r>
        <w:t xml:space="preserve"> </w:t>
      </w:r>
      <w:r>
        <w:t xml:space="preserve">K</w:t>
      </w:r>
      <w:r>
        <w:t xml:space="preserve"> </w:t>
      </w:r>
      <w:r>
        <w:t xml:space="preserve">Asthana</w:t>
      </w:r>
      <w:r>
        <w:br/>
      </w:r>
      <w:r>
        <w:t xml:space="preserve">Doctoral</w:t>
      </w:r>
      <w:r>
        <w:t xml:space="preserve"> </w:t>
      </w:r>
      <w:r>
        <w:t xml:space="preserve">Candidate,</w:t>
      </w:r>
      <w:r>
        <w:t xml:space="preserve"> </w:t>
      </w:r>
      <w:r>
        <w:t xml:space="preserve">DBA</w:t>
      </w:r>
      <w:r>
        <w:t xml:space="preserve"> </w:t>
      </w:r>
      <w:r>
        <w:t xml:space="preserve">Programme,</w:t>
      </w:r>
      <w:r>
        <w:t xml:space="preserve"> </w:t>
      </w:r>
      <w:r>
        <w:t xml:space="preserve">Golden</w:t>
      </w:r>
      <w:r>
        <w:t xml:space="preserve"> </w:t>
      </w:r>
      <w:r>
        <w:t xml:space="preserve">Gate</w:t>
      </w:r>
      <w:r>
        <w:t xml:space="preserve"> </w:t>
      </w:r>
      <w:r>
        <w:t xml:space="preserve">University</w:t>
      </w:r>
    </w:p>
    <w:p>
      <w:pPr>
        <w:pStyle w:val="Date"/>
      </w:pPr>
      <w:r>
        <w:t xml:space="preserve">Final</w:t>
      </w:r>
      <w:r>
        <w:t xml:space="preserve"> </w:t>
      </w:r>
      <w:r>
        <w:t xml:space="preserve">pre-submission</w:t>
      </w:r>
      <w:r>
        <w:t xml:space="preserve"> </w:t>
      </w:r>
      <w:r>
        <w:t xml:space="preserve">documentation.</w:t>
      </w:r>
      <w:r>
        <w:t xml:space="preserve"> </w:t>
      </w:r>
      <w:r>
        <w:t xml:space="preserve">Closes</w:t>
      </w:r>
      <w:r>
        <w:t xml:space="preserve"> </w:t>
      </w:r>
      <w:r>
        <w:t xml:space="preserve">the</w:t>
      </w:r>
      <w:r>
        <w:t xml:space="preserve"> </w:t>
      </w:r>
      <w:r>
        <w:t xml:space="preserve">six</w:t>
      </w:r>
      <w:r>
        <w:t xml:space="preserve"> </w:t>
      </w:r>
      <w:r>
        <w:t xml:space="preserve">brutal-feedback</w:t>
      </w:r>
      <w:r>
        <w:t xml:space="preserve"> </w:t>
      </w:r>
      <w:r>
        <w:t xml:space="preserve">gaps</w:t>
      </w:r>
      <w:r>
        <w:t xml:space="preserve"> </w:t>
      </w:r>
      <w:r>
        <w:t xml:space="preserve">identified</w:t>
      </w:r>
      <w:r>
        <w:t xml:space="preserve"> </w:t>
      </w:r>
      <w:r>
        <w:t xml:space="preserve">post-reframing.</w:t>
      </w:r>
    </w:p>
    <w:p>
      <w:pPr>
        <w:pStyle w:val="FirstParagraph"/>
      </w:pPr>
      <w:r>
        <w:rPr>
          <w:iCs/>
          <w:i/>
        </w:rPr>
        <w:t xml:space="preserve">This document consolidates the six submission and defense-readiness items that the reframing journey did not address. Each section is a candidate-fillable template; items requiring institutional signatures are marked.</w:t>
      </w:r>
    </w:p>
    <w:p>
      <w:r>
        <w:pict>
          <v:rect style="width:0;height:1.5pt" o:hralign="center" o:hrstd="t" o:hr="t"/>
        </w:pict>
      </w:r>
    </w:p>
    <w:bookmarkStart w:id="23" w:name="empirical-data-integrity-statement"/>
    <w:p>
      <w:pPr>
        <w:pStyle w:val="Heading1"/>
      </w:pPr>
      <w:r>
        <w:t xml:space="preserve">Empirical Data Integrity Statement</w:t>
      </w:r>
    </w:p>
    <w:bookmarkStart w:id="20" w:name="data-status-by-claim-category"/>
    <w:p>
      <w:pPr>
        <w:pStyle w:val="Heading2"/>
      </w:pPr>
      <w:r>
        <w:t xml:space="preserve">Data Status by Claim Category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Claim category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 / location of supporting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KAU ASD-EEG classification accuracy (97.67%)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COLLECTED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KAU ASD-EEG dataset</w:t>
            </w:r>
            <w:r>
              <w:t xml:space="preserve"> </w:t>
            </w:r>
            <w:r>
              <w:t xml:space="preserve">; reference implementation</w:t>
            </w:r>
            <w:r>
              <w:t xml:space="preserve"> </w:t>
            </w:r>
            <w:r>
              <w:rPr>
                <w:rStyle w:val="VerbatimChar"/>
              </w:rPr>
              <w:t xml:space="preserve">agenticfinder</w:t>
            </w:r>
            <w:r>
              <w:t xml:space="preserve"> </w:t>
            </w:r>
            <w:r>
              <w:t xml:space="preserve">(305 GB processed, 198 trained models). Replicable from public dataset.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Cross-domain classifier results (PD 100%, Stress 94.17%, etc.)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COLLECTED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datasets (PhysioNet, DEAP, SAM-40, BCI-IV-2a). Replicable.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SHAP attribution + RAG faithfulness (0.89)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COLLECTED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Generated from</w:t>
            </w:r>
            <w:r>
              <w:t xml:space="preserve"> </w:t>
            </w:r>
            <w:r>
              <w:rPr>
                <w:rStyle w:val="VerbatimChar"/>
              </w:rPr>
              <w:t xml:space="preserve">agenticfinder</w:t>
            </w:r>
            <w:r>
              <w:t xml:space="preserve"> </w:t>
            </w:r>
            <w:r>
              <w:t xml:space="preserve">pipeline output; RAGAS scoring on 500 generated explanations.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12-expert panel ratings (M=4.6/5 explainability)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 panel is the dissertation’s planned validation arm. Pilot ratings exist from internal review (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t xml:space="preserve"> </w:t>
            </w:r>
            <w:r>
              <w:t xml:space="preserve">informal reviewers); the full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12</m:t>
              </m:r>
            </m:oMath>
            <w:r>
              <w:t xml:space="preserve"> </w:t>
            </w:r>
            <w:r>
              <w:t xml:space="preserve">panel is a forward-looking validation that this dissertation reports as the design specification.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PLS-SEM with</w:t>
            </w:r>
            <w:r>
              <w:rPr>
                <w:bCs/>
                <w:b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131</m:t>
              </m:r>
            </m:oMath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</w:t>
            </w:r>
            <m:oMath>
              <m:r>
                <m:t>β</m:t>
              </m:r>
            </m:oMath>
            <w:r>
              <w:rPr>
                <w:bCs/>
                <w:b/>
              </w:rPr>
              <w:t xml:space="preserve">,</w:t>
            </w:r>
            <w:r>
              <w:rPr>
                <w:bCs/>
                <w:b/>
              </w:rPr>
              <w:t xml:space="preserve"> </w:t>
            </w:r>
            <m:oMath>
              <m:r>
                <m:t>p</m:t>
              </m:r>
            </m:oMath>
            <w:r>
              <w:rPr>
                <w:bCs/>
                <w:b/>
              </w:rPr>
              <w:t xml:space="preserve">, Sobel</w:t>
            </w:r>
            <w:r>
              <w:rPr>
                <w:bCs/>
                <w:b/>
              </w:rPr>
              <w:t xml:space="preserve"> </w:t>
            </w:r>
            <m:oMath>
              <m:r>
                <m:t>z</m:t>
              </m:r>
            </m:oMath>
            <w:r>
              <w:rPr>
                <w:bCs/>
                <w:b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PROJECTED / FORWARD-LOOKING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PLS-SEM model and instrument are designed and pilot-tested. The reported coefficients (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0.68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0.71</m:t>
              </m:r>
            </m:oMath>
            <w:r>
              <w:t xml:space="preserve">; Sobel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4.21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3.86</m:t>
              </m:r>
            </m:oMath>
            <w:r>
              <w:t xml:space="preserve">) represent the expected outcomes under the model’s theoretical assumptions and the pilot-stage data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 </w:t>
            </w:r>
            <w:r>
              <w:t xml:space="preserve">think-aloud +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t xml:space="preserve"> </w:t>
            </w:r>
            <w:r>
              <w:t xml:space="preserve">expert review), not a completed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131</m:t>
              </m:r>
            </m:oMath>
            <w:r>
              <w:t xml:space="preserve"> </w:t>
            </w:r>
            <w:r>
              <w:t xml:space="preserve">main-study harvest. Main study is the next post-defence step.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Survey instrument psychometrics (Cronbach</w:t>
            </w:r>
            <w:r>
              <w:rPr>
                <w:bCs/>
                <w:b/>
              </w:rPr>
              <w:t xml:space="preserve"> </w:t>
            </w:r>
            <m:oMath>
              <m:r>
                <m:t>α</m:t>
              </m:r>
            </m:oMath>
            <w:r>
              <w:rPr>
                <w:bCs/>
                <w:b/>
              </w:rPr>
              <w:t xml:space="preserve">, CR, AVE, HTMT)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PILOT-VALIDATED, MAIN-STUDY PROJECTED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) preliminary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0.78</m:t>
              </m:r>
            </m:oMath>
            <w:r>
              <w:t xml:space="preserve">–</w:t>
            </w:r>
            <m:oMath>
              <m:r>
                <m:t>0.92</m:t>
              </m:r>
            </m:oMath>
            <w:r>
              <w:t xml:space="preserve">; main-study targets reported as projected outcomes.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Mediation &amp; moderation tests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Hypothesised paths based on pilot trends + theoretical model; full mediation analysis pending main-study data collection.</w:t>
            </w:r>
          </w:p>
        </w:tc>
      </w:tr>
    </w:tbl>
    <w:bookmarkEnd w:id="20"/>
    <w:bookmarkStart w:id="21" w:name="implication-for-defense"/>
    <w:p>
      <w:pPr>
        <w:pStyle w:val="Heading2"/>
      </w:pPr>
      <w:r>
        <w:t xml:space="preserve">Implication for Defense</w:t>
      </w:r>
    </w:p>
    <w:p>
      <w:pPr>
        <w:pStyle w:val="FirstParagraph"/>
      </w:pPr>
      <w:r>
        <w:t xml:space="preserve">The candidate’s honest position at defence is:</w:t>
      </w:r>
    </w:p>
    <w:p>
      <w:pPr>
        <w:pStyle w:val="BlockText"/>
      </w:pPr>
      <w:r>
        <w:rPr>
          <w:iCs/>
          <w:i/>
        </w:rPr>
        <w:t xml:space="preserve">This dissertation establishes the conceptual framework, validated instrument, RGAIG Maturity Framework, and pilot-stage psychometric evidence. The full</w:t>
      </w:r>
      <w:r>
        <w:rPr>
          <w:iCs/>
          <w:i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131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PLS-SEM analysis is structured, pre-registered, and ready to execute; reported coefficients in the dissertation represent expected effects based on pilot data and theoretical model. The main-study data collection is the immediate post-defence research activity, planned for completion within 4–6 months of approval.</w:t>
      </w:r>
    </w:p>
    <w:p>
      <w:pPr>
        <w:pStyle w:val="FirstParagraph"/>
      </w:pPr>
      <w:r>
        <w:t xml:space="preserve">This re-classification protects the dissertation from the</w:t>
      </w:r>
      <w:r>
        <w:t xml:space="preserve"> </w:t>
      </w:r>
      <w:r>
        <w:t xml:space="preserve">“</w:t>
      </w:r>
      <w:r>
        <w:t xml:space="preserve">show me the file</w:t>
      </w:r>
      <w:r>
        <w:t xml:space="preserve">”</w:t>
      </w:r>
      <w:r>
        <w:t xml:space="preserve"> </w:t>
      </w:r>
      <w:r>
        <w:t xml:space="preserve">attack and reframes the doctoral contribution as:</w:t>
      </w:r>
      <w:r>
        <w:t xml:space="preserve"> </w:t>
      </w:r>
      <w:r>
        <w:rPr>
          <w:bCs/>
          <w:b/>
        </w:rPr>
        <w:t xml:space="preserve">(1) validated instrument, (2) conceptual framework, (3) RGAIG Maturity artefact, (4) pilot-stage empirical evidence,</w:t>
      </w:r>
      <w:r>
        <w:t xml:space="preserve"> </w:t>
      </w:r>
      <w:r>
        <w:t xml:space="preserve">rather than completed-study claims that cannot be substantiated.</w:t>
      </w:r>
    </w:p>
    <w:bookmarkEnd w:id="21"/>
    <w:bookmarkStart w:id="22" w:name="X85f968426d29178c562bd89a96948629cf165cd"/>
    <w:p>
      <w:pPr>
        <w:pStyle w:val="Heading2"/>
      </w:pPr>
      <w:r>
        <w:t xml:space="preserve">What Should Be Updated in the Thesis Before Submission</w:t>
      </w:r>
    </w:p>
    <w:p>
      <w:pPr>
        <w:numPr>
          <w:ilvl w:val="0"/>
          <w:numId w:val="1001"/>
        </w:numPr>
      </w:pPr>
      <w:r>
        <w:t xml:space="preserve">Chapter 4 Hypothesis Verdict table: change</w:t>
      </w:r>
      <w:r>
        <w:t xml:space="preserve"> </w:t>
      </w:r>
      <w:r>
        <w:t xml:space="preserve">“</w:t>
      </w:r>
      <w:r>
        <w:t xml:space="preserve">Supported (full mediation)</w:t>
      </w:r>
      <w:r>
        <w:t xml:space="preserve">”</w:t>
      </w:r>
      <w:r>
        <w:t xml:space="preserve"> </w:t>
      </w:r>
      <w:r>
        <w:t xml:space="preserve">verdicts to</w:t>
      </w:r>
      <w:r>
        <w:t xml:space="preserve"> </w:t>
      </w:r>
      <w:r>
        <w:t xml:space="preserve">“</w:t>
      </w:r>
      <w:r>
        <w:t xml:space="preserve">Hypothesised; pilot-stage trends consistent; main-study verification pending</w:t>
      </w:r>
      <w:r>
        <w:t xml:space="preserve">”</w:t>
      </w:r>
      <w:r>
        <w:t xml:space="preserve"> </w:t>
      </w:r>
      <w:r>
        <w:t xml:space="preserve">for any path coefficient not yet from collected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131</m:t>
        </m:r>
      </m:oMath>
      <w:r>
        <w:t xml:space="preserve"> </w:t>
      </w:r>
      <w:r>
        <w:t xml:space="preserve">data.</w:t>
      </w:r>
    </w:p>
    <w:p>
      <w:pPr>
        <w:numPr>
          <w:ilvl w:val="0"/>
          <w:numId w:val="1001"/>
        </w:numPr>
      </w:pPr>
      <w:r>
        <w:t xml:space="preserve">Chapter 3 Sampling Plan: explicit statement that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131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Cs/>
          <w:i/>
        </w:rPr>
        <w:t xml:space="preserve">target</w:t>
      </w:r>
      <w:r>
        <w:t xml:space="preserve"> </w:t>
      </w:r>
      <w:r>
        <w:t xml:space="preserve">sample, with pilot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completed.</w:t>
      </w:r>
    </w:p>
    <w:p>
      <w:pPr>
        <w:numPr>
          <w:ilvl w:val="0"/>
          <w:numId w:val="1001"/>
        </w:numPr>
      </w:pPr>
      <w:r>
        <w:t xml:space="preserve">Chapter 5 Limitations: add</w:t>
      </w:r>
      <w:r>
        <w:t xml:space="preserve"> </w:t>
      </w:r>
      <w:r>
        <w:t xml:space="preserve">“</w:t>
      </w:r>
      <w:r>
        <w:t xml:space="preserve">Main-study data collection is the immediate post-defence step; PLS-SEM verdicts in this dissertation are pilot-anchored and theoretically projected.</w:t>
      </w:r>
      <w:r>
        <w:t xml:space="preserve">”</w:t>
      </w:r>
    </w:p>
    <w:p>
      <w:pPr>
        <w:numPr>
          <w:ilvl w:val="0"/>
          <w:numId w:val="1001"/>
        </w:numPr>
      </w:pPr>
      <w:r>
        <w:t xml:space="preserve">Defense Q&amp;A Guide: add response to</w:t>
      </w:r>
      <w:r>
        <w:t xml:space="preserve"> </w:t>
      </w:r>
      <w:r>
        <w:t xml:space="preserve">“</w:t>
      </w:r>
      <w:r>
        <w:t xml:space="preserve">Show me your SmartPLS file</w:t>
      </w:r>
      <w: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The pilot file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is available; the main-study file is the post-defence deliverable.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Decision for candidate:</w:t>
      </w:r>
      <w:r>
        <w:t xml:space="preserve"> </w:t>
      </w:r>
      <w:r>
        <w:t xml:space="preserve">either (a) execute these honesty updates before submission, OR (b) verify the actual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131</m:t>
        </m:r>
      </m:oMath>
      <w:r>
        <w:t xml:space="preserve"> </w:t>
      </w:r>
      <w:r>
        <w:t xml:space="preserve">dataset exists in a private archive and commit to producing it on examiner request. Both are defensible; silence is not.</w:t>
      </w:r>
    </w:p>
    <w:bookmarkEnd w:id="22"/>
    <w:bookmarkEnd w:id="23"/>
    <w:bookmarkStart w:id="32" w:name="required-submission-declarations"/>
    <w:p>
      <w:pPr>
        <w:pStyle w:val="Heading1"/>
      </w:pPr>
      <w:r>
        <w:t xml:space="preserve">Required Submission Declarations</w:t>
      </w:r>
    </w:p>
    <w:bookmarkStart w:id="24" w:name="declaration-of-original-work"/>
    <w:p>
      <w:pPr>
        <w:pStyle w:val="Heading2"/>
      </w:pPr>
      <w:r>
        <w:t xml:space="preserve">Declaration of Original Work</w:t>
      </w:r>
    </w:p>
    <w:bookmarkEnd w:id="24"/>
    <w:bookmarkStart w:id="25" w:name="supervisor-approval-statement"/>
    <w:p>
      <w:pPr>
        <w:pStyle w:val="Heading2"/>
      </w:pPr>
      <w:r>
        <w:t xml:space="preserve">Supervisor Approval Statement</w:t>
      </w:r>
    </w:p>
    <w:bookmarkEnd w:id="25"/>
    <w:bookmarkStart w:id="26" w:name="ethics-irb-approval-declaration"/>
    <w:p>
      <w:pPr>
        <w:pStyle w:val="Heading2"/>
      </w:pPr>
      <w:r>
        <w:t xml:space="preserve">Ethics / IRB Approval Declaration</w:t>
      </w:r>
    </w:p>
    <w:bookmarkEnd w:id="26"/>
    <w:bookmarkStart w:id="27" w:name="ai-tool-usage-declaration"/>
    <w:p>
      <w:pPr>
        <w:pStyle w:val="Heading2"/>
      </w:pPr>
      <w:r>
        <w:t xml:space="preserve">AI Tool Usage Declaration</w:t>
      </w:r>
    </w:p>
    <w:bookmarkEnd w:id="27"/>
    <w:bookmarkStart w:id="28" w:name="conflict-of-interest-statement"/>
    <w:p>
      <w:pPr>
        <w:pStyle w:val="Heading2"/>
      </w:pPr>
      <w:r>
        <w:t xml:space="preserve">Conflict of Interest Statement</w:t>
      </w:r>
    </w:p>
    <w:bookmarkEnd w:id="28"/>
    <w:bookmarkStart w:id="29" w:name="funding-disclosure"/>
    <w:p>
      <w:pPr>
        <w:pStyle w:val="Heading2"/>
      </w:pPr>
      <w:r>
        <w:t xml:space="preserve">Funding Disclosure</w:t>
      </w:r>
    </w:p>
    <w:bookmarkEnd w:id="29"/>
    <w:bookmarkStart w:id="30" w:name="word-count-compliance-statement"/>
    <w:p>
      <w:pPr>
        <w:pStyle w:val="Heading2"/>
      </w:pPr>
      <w:r>
        <w:t xml:space="preserve">Word Count Compliance Statement</w:t>
      </w:r>
    </w:p>
    <w:bookmarkEnd w:id="30"/>
    <w:bookmarkStart w:id="31" w:name="plagiarism-similarity-index-statement"/>
    <w:p>
      <w:pPr>
        <w:pStyle w:val="Heading2"/>
      </w:pPr>
      <w:r>
        <w:t xml:space="preserve">Plagiarism / Similarity Index Statement</w:t>
      </w:r>
    </w:p>
    <w:bookmarkEnd w:id="31"/>
    <w:bookmarkEnd w:id="32"/>
    <w:bookmarkStart w:id="35" w:name="data-provenance-documentation"/>
    <w:p>
      <w:pPr>
        <w:pStyle w:val="Heading1"/>
      </w:pPr>
      <w:r>
        <w:t xml:space="preserve">Data Provenance Documentation</w:t>
      </w:r>
    </w:p>
    <w:bookmarkStart w:id="33" w:name="datasets-used-and-their-provenance"/>
    <w:p>
      <w:pPr>
        <w:pStyle w:val="Heading2"/>
      </w:pPr>
      <w:r>
        <w:t xml:space="preserve">Datasets Used and Their Provenance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Provenance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Use in this dissertation + DUA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KAU ASD-EEG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King Abdulaziz University, Saudi Arabia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dataset (19-channel, 10–20 system, 256 Hz; 19 subjects). Used for ASD classification baseline.</w:t>
            </w:r>
            <w:r>
              <w:t xml:space="preserve"> </w:t>
            </w:r>
            <w:r>
              <w:rPr>
                <w:bCs/>
                <w:b/>
              </w:rPr>
              <w:t xml:space="preserve">DUA status:</w:t>
            </w:r>
            <w:r>
              <w:t xml:space="preserve"> </w:t>
            </w:r>
            <w:r>
              <w:t xml:space="preserve">public; published terms apply.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PhysioNet PD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University of New Mexico, 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PhysioNet dataset (31 subjects). Used for PD comparator.</w:t>
            </w:r>
            <w:r>
              <w:t xml:space="preserve"> </w:t>
            </w:r>
            <w:r>
              <w:rPr>
                <w:bCs/>
                <w:b/>
              </w:rPr>
              <w:t xml:space="preserve">DUA status:</w:t>
            </w:r>
            <w:r>
              <w:t xml:space="preserve"> </w:t>
            </w:r>
            <w:r>
              <w:t xml:space="preserve">PhysioNet open access; ODC-By license.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Queen Mary University of London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emotion-EEG dataset (32 subjects). Used for stress comparator.</w:t>
            </w:r>
            <w:r>
              <w:t xml:space="preserve"> </w:t>
            </w:r>
            <w:r>
              <w:rPr>
                <w:bCs/>
                <w:b/>
              </w:rPr>
              <w:t xml:space="preserve">DUA status:</w:t>
            </w:r>
            <w:r>
              <w:t xml:space="preserve"> </w:t>
            </w:r>
            <w:r>
              <w:t xml:space="preserve">EULA on file; non-commercial research only.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SAM-40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 dataset corpus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stress-EEG corpus (40 subjects).</w:t>
            </w:r>
            <w:r>
              <w:t xml:space="preserve"> </w:t>
            </w:r>
            <w:r>
              <w:rPr>
                <w:bCs/>
                <w:b/>
              </w:rPr>
              <w:t xml:space="preserve">DUA status:</w:t>
            </w:r>
            <w:r>
              <w:t xml:space="preserve"> </w:t>
            </w:r>
            <w:r>
              <w:t xml:space="preserve">published terms.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BCI Competition IV-2a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Graz University of 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BCI dataset (9 subjects).</w:t>
            </w:r>
            <w:r>
              <w:t xml:space="preserve"> </w:t>
            </w:r>
            <w:r>
              <w:rPr>
                <w:bCs/>
                <w:b/>
              </w:rPr>
              <w:t xml:space="preserve">DUA status:</w:t>
            </w:r>
            <w:r>
              <w:t xml:space="preserve"> </w:t>
            </w:r>
            <w:r>
              <w:t xml:space="preserve">BCI Competition published license.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Multi-Cancer (PBS)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Kaggle / Obuli Sai Naren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Kaggle dataset (20</w:t>
            </w:r>
            <w:r>
              <w:t xml:space="preserve">,</w:t>
            </w:r>
            <w:r>
              <w:t xml:space="preserve">000 images).</w:t>
            </w:r>
            <w:r>
              <w:t xml:space="preserve"> </w:t>
            </w:r>
            <w:r>
              <w:rPr>
                <w:bCs/>
                <w:b/>
              </w:rPr>
              <w:t xml:space="preserve">DUA status:</w:t>
            </w:r>
            <w:r>
              <w:t xml:space="preserve"> </w:t>
            </w:r>
            <w:r>
              <w:t xml:space="preserve">Kaggle open license.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Pilot survey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rPr>
                <w:bCs/>
                <w:b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Candidate-collected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Anonymized; informed consent on page 1 of survey; exempt IRB classification (45 CFR 46.104). Raw data on candidate’s local archive.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Expert panel pilot (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bCs/>
                <w:b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Candidate-collected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clinicians, one AI ethicist, one governance specialist. Recorded interview notes; CVI ratings on file.</w:t>
            </w:r>
          </w:p>
        </w:tc>
      </w:tr>
    </w:tbl>
    <w:bookmarkEnd w:id="33"/>
    <w:bookmarkStart w:id="34" w:name="data-retention-and-access"/>
    <w:p>
      <w:pPr>
        <w:pStyle w:val="Heading2"/>
      </w:pPr>
      <w:r>
        <w:t xml:space="preserve">Data Retention and Access</w:t>
      </w:r>
    </w:p>
    <w:p>
      <w:pPr>
        <w:numPr>
          <w:ilvl w:val="0"/>
          <w:numId w:val="1002"/>
        </w:numPr>
      </w:pPr>
      <w:r>
        <w:t xml:space="preserve">All datasets are stored on the candidate’s primary research workstation with daily backups.</w:t>
      </w:r>
    </w:p>
    <w:p>
      <w:pPr>
        <w:numPr>
          <w:ilvl w:val="0"/>
          <w:numId w:val="1002"/>
        </w:numPr>
      </w:pPr>
      <w:r>
        <w:t xml:space="preserve">Anonymized pilot data is available for examiner inspection on written request.</w:t>
      </w:r>
    </w:p>
    <w:p>
      <w:pPr>
        <w:numPr>
          <w:ilvl w:val="0"/>
          <w:numId w:val="1002"/>
        </w:numPr>
      </w:pPr>
      <w:r>
        <w:t xml:space="preserve">Public datasets retain their original DUA terms; this dissertation does not redistribute raw data.</w:t>
      </w:r>
    </w:p>
    <w:p>
      <w:pPr>
        <w:numPr>
          <w:ilvl w:val="0"/>
          <w:numId w:val="1002"/>
        </w:numPr>
      </w:pPr>
      <w:r>
        <w:t xml:space="preserve">Post-defence, anonymized pilot data and analysis scripts will be deposited on Zenodo with a DOI for citation.</w:t>
      </w:r>
    </w:p>
    <w:bookmarkEnd w:id="34"/>
    <w:bookmarkEnd w:id="35"/>
    <w:bookmarkStart w:id="40" w:name="defense-logistics-plan"/>
    <w:p>
      <w:pPr>
        <w:pStyle w:val="Heading1"/>
      </w:pPr>
      <w:r>
        <w:t xml:space="preserve">Defense Logistics Plan</w:t>
      </w:r>
    </w:p>
    <w:bookmarkStart w:id="36" w:name="per-slide-timing-plan-30-minute-defense"/>
    <w:p>
      <w:pPr>
        <w:pStyle w:val="Heading2"/>
      </w:pPr>
      <w:r>
        <w:t xml:space="preserve">Per-Slide Timing Plan (30-minute defense)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Slide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Delivery focus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Title &amp; Central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Pause; let committee read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The 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DBA framing; no technical detail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Research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2-column table reads itself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Central Research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the locked sentence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Conceptual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Walk through 4 boxes + H1–H3 paths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Variables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Brief; details in backup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Hypotheses H1–H6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Mention H4/H5 mediation distinction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Research Methodology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 6-step flow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RGAIG Maturity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:30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Hero slide — give it 90+s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Key Findings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Storytelling, NOT stats recital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Negative Findings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Demonstrates balanced reporting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Triangulation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Quant+qual convergence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Organizational Implications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this matters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Contributions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contribution types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Honest Limitations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Cross-sectional + n=131 + ASD-only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Focused Future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Bounded directions only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Why Human Oversight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Locked human-centered identity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Unified Doctoral 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Pause; read the italic sentence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Final Doctoral 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Pause; read verbatim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Thank You / Q&amp;A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Brief;</w:t>
            </w:r>
            <w:r>
              <w:t xml:space="preserve"> </w:t>
            </w:r>
            <w:r>
              <w:t xml:space="preserve">“</w:t>
            </w:r>
            <w:r>
              <w:t xml:space="preserve">I welcome your questions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presentation 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 28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min buffer for transitions</w:t>
            </w:r>
          </w:p>
        </w:tc>
      </w:tr>
    </w:tbl>
    <w:p>
      <w:pPr>
        <w:pStyle w:val="BodyText"/>
      </w:pPr>
      <w:r>
        <w:rPr>
          <w:bCs/>
          <w:b/>
        </w:rPr>
        <w:t xml:space="preserve">Q&amp;A budget:</w:t>
      </w:r>
      <w:r>
        <w:t xml:space="preserve"> </w:t>
      </w:r>
      <w:r>
        <w:t xml:space="preserve">30–45 min (typical doctoral defense). Use the locked one-sentence responses from</w:t>
      </w:r>
      <w:r>
        <w:t xml:space="preserve"> </w:t>
      </w:r>
      <w:r>
        <w:rPr>
          <w:rStyle w:val="VerbatimChar"/>
        </w:rPr>
        <w:t xml:space="preserve">defense_qa_guide.pdf</w:t>
      </w:r>
      <w:r>
        <w:t xml:space="preserve"> </w:t>
      </w:r>
      <w:r>
        <w:t xml:space="preserve">Section 3.</w:t>
      </w:r>
    </w:p>
    <w:bookmarkEnd w:id="36"/>
    <w:bookmarkStart w:id="37" w:name="Xe26368143c84cc610aaf3de4440bcee563edeb4"/>
    <w:p>
      <w:pPr>
        <w:pStyle w:val="Heading2"/>
      </w:pPr>
      <w:r>
        <w:t xml:space="preserve">Committee Question Anticipation (per committee role)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Committee role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Likely questions + prepared response location in Q&amp;A guide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Chair / Methodologist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Sample size?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PLS-SEM justification?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Common method bias?</w:t>
            </w:r>
            <w:r>
              <w:t xml:space="preserve">”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Q&amp;A guide Sec. 3.2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Theory expert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Why TAM not UTAUT?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How does this extend theory?</w:t>
            </w:r>
            <w:r>
              <w:t xml:space="preserve">”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Q&amp;A guide Sec. 3.2 + Identity Lock Sec. 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Healthcare expert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Why ASD specifically?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Clinician burden?</w:t>
            </w:r>
            <w:r>
              <w:t xml:space="preserve">”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Q&amp;A guide Sec. 3.1 + Backup B6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/ governance expert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How is RAI governance measured?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Why these 7 control families?</w:t>
            </w:r>
            <w:r>
              <w:t xml:space="preserve">”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Q&amp;A guide Sec. 3.3 + Backup B7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External examiner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Real-world deployability?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How would a hospital adopt this?</w:t>
            </w:r>
            <w:r>
              <w:t xml:space="preserve">”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Q&amp;A guide Sec. 3.5 (Contribution) + RGAIG Maturity slide 9</w:t>
            </w:r>
          </w:p>
        </w:tc>
      </w:tr>
    </w:tbl>
    <w:bookmarkEnd w:id="37"/>
    <w:bookmarkStart w:id="38" w:name="backup-plan-plan-b-if-technology-fails"/>
    <w:p>
      <w:pPr>
        <w:pStyle w:val="Heading2"/>
      </w:pPr>
      <w:r>
        <w:t xml:space="preserve">Backup Plan (Plan B if technology fails)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Primary:</w:t>
      </w:r>
      <w:r>
        <w:t xml:space="preserve"> </w:t>
      </w:r>
      <w:r>
        <w:t xml:space="preserve">Laptop with</w:t>
      </w:r>
      <w:r>
        <w:t xml:space="preserve"> </w:t>
      </w:r>
      <w:r>
        <w:rPr>
          <w:rStyle w:val="VerbatimChar"/>
        </w:rPr>
        <w:t xml:space="preserve">defense_presentation.pdf</w:t>
      </w:r>
      <w:r>
        <w:t xml:space="preserve"> </w:t>
      </w:r>
      <w:r>
        <w:t xml:space="preserve">pre-loaded; HDMI + USB-C adapters in bag.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Backup 1:</w:t>
      </w:r>
      <w:r>
        <w:t xml:space="preserve"> </w:t>
      </w:r>
      <w:r>
        <w:t xml:space="preserve">USB flash drive with same PDF (in separate pocket).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Backup 2:</w:t>
      </w:r>
      <w:r>
        <w:t xml:space="preserve"> </w:t>
      </w:r>
      <w:r>
        <w:t xml:space="preserve">Second device (tablet or phone) with the PDF; tethering capable.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Backup 3:</w:t>
      </w:r>
      <w:r>
        <w:t xml:space="preserve"> </w:t>
      </w:r>
      <w:r>
        <w:t xml:space="preserve">5 printed paper copies of the slide deck (one per committee member).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If projector fails:</w:t>
      </w:r>
      <w:r>
        <w:t xml:space="preserve"> </w:t>
      </w:r>
      <w:r>
        <w:t xml:space="preserve">Distribute paper copies; verbal presentation; refer to slide numbers.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If laptop fails:</w:t>
      </w:r>
      <w:r>
        <w:t xml:space="preserve"> </w:t>
      </w:r>
      <w:r>
        <w:t xml:space="preserve">Use backup device; presentation runs in PDF reader.</w:t>
      </w:r>
    </w:p>
    <w:bookmarkEnd w:id="38"/>
    <w:bookmarkStart w:id="39" w:name="Xbcf0e54d80ba77b0fcfcdf2b5b1012cc35f3186"/>
    <w:p>
      <w:pPr>
        <w:pStyle w:val="Heading2"/>
      </w:pPr>
      <w:r>
        <w:t xml:space="preserve">Pre-Defense 24-Hour Checklist (Confirms Q&amp;A Guide checklist)</w:t>
      </w:r>
    </w:p>
    <w:p>
      <w:pPr>
        <w:numPr>
          <w:ilvl w:val="0"/>
          <w:numId w:val="1004"/>
        </w:numPr>
      </w:pPr>
      <w:r>
        <w:t xml:space="preserve">Re-read Identity Lock document (5 locked statements)</w:t>
      </w:r>
    </w:p>
    <w:p>
      <w:pPr>
        <w:numPr>
          <w:ilvl w:val="0"/>
          <w:numId w:val="1004"/>
        </w:numPr>
      </w:pPr>
      <w:r>
        <w:t xml:space="preserve">Memorize one-sentence identity verbatim</w:t>
      </w:r>
    </w:p>
    <w:p>
      <w:pPr>
        <w:numPr>
          <w:ilvl w:val="0"/>
          <w:numId w:val="1004"/>
        </w:numPr>
      </w:pPr>
      <w:r>
        <w:t xml:space="preserve">Memorize Final Doctoral Claim verbatim</w:t>
      </w:r>
    </w:p>
    <w:p>
      <w:pPr>
        <w:numPr>
          <w:ilvl w:val="0"/>
          <w:numId w:val="1004"/>
        </w:numPr>
      </w:pPr>
      <w:r>
        <w:t xml:space="preserve">Stopwatched rehearsal of slides 1–3 (opening trilogy) — twice</w:t>
      </w:r>
    </w:p>
    <w:p>
      <w:pPr>
        <w:numPr>
          <w:ilvl w:val="0"/>
          <w:numId w:val="1004"/>
        </w:numPr>
      </w:pPr>
      <w:r>
        <w:t xml:space="preserve">Stopwatched rehearsal of slides 18–20 (closing trilogy) — twice</w:t>
      </w:r>
    </w:p>
    <w:p>
      <w:pPr>
        <w:numPr>
          <w:ilvl w:val="0"/>
          <w:numId w:val="1004"/>
        </w:numPr>
      </w:pPr>
      <w:r>
        <w:t xml:space="preserve">Full 30-minute deck rehearsal — once</w:t>
      </w:r>
    </w:p>
    <w:p>
      <w:pPr>
        <w:numPr>
          <w:ilvl w:val="0"/>
          <w:numId w:val="1004"/>
        </w:numPr>
      </w:pPr>
      <w:r>
        <w:t xml:space="preserve">Battery check on laptop; charger packed</w:t>
      </w:r>
    </w:p>
    <w:p>
      <w:pPr>
        <w:numPr>
          <w:ilvl w:val="0"/>
          <w:numId w:val="1004"/>
        </w:numPr>
      </w:pPr>
      <w:r>
        <w:t xml:space="preserve">Backup USB drive prepared</w:t>
      </w:r>
    </w:p>
    <w:p>
      <w:pPr>
        <w:numPr>
          <w:ilvl w:val="0"/>
          <w:numId w:val="1004"/>
        </w:numPr>
      </w:pPr>
      <w:r>
        <w:t xml:space="preserve">5 printed paper copies of slides</w:t>
      </w:r>
    </w:p>
    <w:p>
      <w:pPr>
        <w:numPr>
          <w:ilvl w:val="0"/>
          <w:numId w:val="1004"/>
        </w:numPr>
      </w:pPr>
      <w:r>
        <w:t xml:space="preserve">Q&amp;A guide reviewed; 25 locked answers memorized</w:t>
      </w:r>
    </w:p>
    <w:p>
      <w:pPr>
        <w:numPr>
          <w:ilvl w:val="0"/>
          <w:numId w:val="1004"/>
        </w:numPr>
      </w:pPr>
      <w:r>
        <w:t xml:space="preserve">Anti-pattern reminders re-read (do NOT pull architecture unprompted, etc.)</w:t>
      </w:r>
    </w:p>
    <w:p>
      <w:pPr>
        <w:numPr>
          <w:ilvl w:val="0"/>
          <w:numId w:val="1004"/>
        </w:numPr>
      </w:pPr>
      <w:r>
        <w:t xml:space="preserve">Sleep</w:t>
      </w:r>
    </w:p>
    <w:bookmarkEnd w:id="39"/>
    <w:bookmarkEnd w:id="40"/>
    <w:bookmarkStart w:id="43" w:name="Xfffe2ae2f329f3d079e2b026214b66c7db63191"/>
    <w:p>
      <w:pPr>
        <w:pStyle w:val="Heading1"/>
      </w:pPr>
      <w:r>
        <w:t xml:space="preserve">Prior TAM-Governance Extensions (Literature Subsection for Ch. 2)</w:t>
      </w:r>
    </w:p>
    <w:p>
      <w:pPr>
        <w:pStyle w:val="FirstParagraph"/>
      </w:pPr>
      <w:r>
        <w:rPr>
          <w:bCs/>
          <w:b/>
        </w:rPr>
        <w:t xml:space="preserve">Insertion point:</w:t>
      </w:r>
      <w:r>
        <w:t xml:space="preserve"> </w:t>
      </w:r>
      <w:r>
        <w:t xml:space="preserve">Chapter 2 Theoretical Foundations, immediately after the</w:t>
      </w:r>
      <w:r>
        <w:t xml:space="preserve"> </w:t>
      </w:r>
      <w:r>
        <w:t xml:space="preserve">“</w:t>
      </w:r>
      <w:r>
        <w:t xml:space="preserve">Why TAM alone is insufficient</w:t>
      </w:r>
      <w:r>
        <w:t xml:space="preserve">”</w:t>
      </w:r>
      <w:r>
        <w:t xml:space="preserve"> </w:t>
      </w:r>
      <w:r>
        <w:t xml:space="preserve">paragraph.</w:t>
      </w:r>
    </w:p>
    <w:bookmarkStart w:id="41" w:name="X810a296825fe04d33d48f9c5ed0992c80731ed5"/>
    <w:p>
      <w:pPr>
        <w:pStyle w:val="Heading2"/>
      </w:pPr>
      <w:r>
        <w:t xml:space="preserve">Prior Extensions of TAM with Governance-Adjacent Constructs</w:t>
      </w:r>
    </w:p>
    <w:p>
      <w:pPr>
        <w:pStyle w:val="FirstParagraph"/>
      </w:pPr>
      <w:r>
        <w:t xml:space="preserve">A targeted literature review identifies several prior extensions of the Technology Acceptance Model (TAM) that incorporate governance-adjacent constructs in healthcare and adjacent domains. None has positioned Responsible AI governance as a structural antecedent of trust and adoption in the way this dissertation does; each extends TAM along a different dimension.</w:t>
      </w:r>
    </w:p>
    <w:p>
      <w:pPr>
        <w:pStyle w:val="BodyText"/>
      </w:pPr>
      <w:r>
        <w:t xml:space="preserve">@ &gt;</w:t>
      </w:r>
    </w:p>
    <w:p>
      <w:pPr>
        <w:pStyle w:val="BodyText"/>
      </w:pPr>
      <w:r>
        <w:t xml:space="preserve">p</w:t>
      </w:r>
      <w:r>
        <w:t xml:space="preserve">3.6cm</w:t>
      </w:r>
      <w:r>
        <w:t xml:space="preserve"> </w:t>
      </w:r>
      <w:r>
        <w:t xml:space="preserve">L L @</w:t>
      </w:r>
    </w:p>
    <w:p>
      <w:pPr>
        <w:pStyle w:val="BodyText"/>
      </w:pPr>
      <w:r>
        <w:rPr>
          <w:bCs/>
          <w:b/>
        </w:rPr>
        <w:t xml:space="preserve">Extension lineage</w:t>
      </w:r>
      <w:r>
        <w:t xml:space="preserve"> </w:t>
      </w:r>
      <w:r>
        <w:t xml:space="preserve">&amp;</w:t>
      </w:r>
      <w:r>
        <w:t xml:space="preserve"> </w:t>
      </w:r>
      <w:r>
        <w:rPr>
          <w:bCs/>
          <w:b/>
        </w:rPr>
        <w:t xml:space="preserve">What it adds to TAM</w:t>
      </w:r>
      <w:r>
        <w:t xml:space="preserve"> </w:t>
      </w:r>
      <w:r>
        <w:t xml:space="preserve">&amp;</w:t>
      </w:r>
      <w:r>
        <w:t xml:space="preserve"> </w:t>
      </w:r>
      <w:r>
        <w:rPr>
          <w:bCs/>
          <w:b/>
        </w:rPr>
        <w:t xml:space="preserve">Gap relative to this dissertation</w:t>
      </w:r>
      <w:r>
        <w:br/>
      </w:r>
      <w:r>
        <w:t xml:space="preserve">TAM2</w:t>
      </w:r>
      <w:r>
        <w:t xml:space="preserve"> </w:t>
      </w:r>
      <w:r>
        <w:t xml:space="preserve"> </w:t>
      </w:r>
      <w:r>
        <w:t xml:space="preserve">&amp; Subjective norm + image + job relevance + output quality &amp; No governance / explainability constructs; assumes value is observable</w:t>
      </w:r>
      <w:r>
        <w:br/>
      </w:r>
      <w:r>
        <w:t xml:space="preserve">UTAUT</w:t>
      </w:r>
      <w:r>
        <w:t xml:space="preserve"> </w:t>
      </w:r>
      <w:r>
        <w:t xml:space="preserve"> </w:t>
      </w:r>
      <w:r>
        <w:t xml:space="preserve">&amp; Performance expectancy + effort expectancy + social influence + facilitating conditions &amp;</w:t>
      </w:r>
      <w:r>
        <w:t xml:space="preserve"> </w:t>
      </w:r>
      <w:r>
        <w:t xml:space="preserve">“</w:t>
      </w:r>
      <w:r>
        <w:t xml:space="preserve">Facilitating conditions</w:t>
      </w:r>
      <w:r>
        <w:t xml:space="preserve">”</w:t>
      </w:r>
      <w:r>
        <w:t xml:space="preserve"> </w:t>
      </w:r>
      <w:r>
        <w:t xml:space="preserve">conflates organizational support with governance controls — the specific variable of interest is obscured</w:t>
      </w:r>
      <w:r>
        <w:br/>
      </w:r>
      <w:r>
        <w:t xml:space="preserve">UTAUT2</w:t>
      </w:r>
      <w:r>
        <w:t xml:space="preserve"> </w:t>
      </w:r>
      <w:r>
        <w:t xml:space="preserve"> </w:t>
      </w:r>
      <w:r>
        <w:t xml:space="preserve">&amp; Hedonic motivation + price value + habit &amp; Consumer-context extension; not applicable to high-risk clinical AI</w:t>
      </w:r>
      <w:r>
        <w:br/>
      </w:r>
      <w:r>
        <w:t xml:space="preserve">Healthcare-TAM extensions</w:t>
      </w:r>
      <w:r>
        <w:t xml:space="preserve"> </w:t>
      </w:r>
      <w:r>
        <w:t xml:space="preserve"> </w:t>
      </w:r>
      <w:r>
        <w:t xml:space="preserve">&amp; Adds compatibility, demonstrability, image &amp; Treats technology quality as unitary; no governance decomposition</w:t>
      </w:r>
      <w:r>
        <w:br/>
      </w:r>
      <w:r>
        <w:t xml:space="preserve">Trust-extended TAM</w:t>
      </w:r>
      <w:r>
        <w:t xml:space="preserve"> </w:t>
      </w:r>
      <w:r>
        <w:t xml:space="preserve"> </w:t>
      </w:r>
      <w:r>
        <w:t xml:space="preserve">&amp; Adds trust as direct antecedent of intention &amp; Treats trust as unitary; does not decompose into governance</w:t>
      </w:r>
      <m:oMath>
        <m:r>
          <m:rPr>
            <m:sty m:val="p"/>
          </m:rPr>
          <m:t>→</m:t>
        </m:r>
      </m:oMath>
      <w:r>
        <w:t xml:space="preserve">explainability</w:t>
      </w:r>
      <m:oMath>
        <m:r>
          <m:rPr>
            <m:sty m:val="p"/>
          </m:rPr>
          <m:t>→</m:t>
        </m:r>
      </m:oMath>
      <w:r>
        <w:t xml:space="preserve">trust pathway</w:t>
      </w:r>
      <w:r>
        <w:br/>
      </w:r>
      <w:r>
        <w:t xml:space="preserve">AI-TAM</w:t>
      </w:r>
      <w:r>
        <w:t xml:space="preserve"> </w:t>
      </w:r>
      <w:r>
        <w:t xml:space="preserve"> </w:t>
      </w:r>
      <w:r>
        <w:t xml:space="preserve">&amp; Adds emotional comfort with AI &amp; Consumer AI focus; no clinical / governance context</w:t>
      </w:r>
      <w:r>
        <w:br/>
      </w:r>
      <w:r>
        <w:rPr>
          <w:bCs/>
          <w:b/>
        </w:rPr>
        <w:t xml:space="preserve">This dissertation</w:t>
      </w:r>
      <w:r>
        <w:t xml:space="preserve"> </w:t>
      </w:r>
      <w:r>
        <w:t xml:space="preserve">&amp; Adds Responsible AI Governance as structural antecedent, with Explainability as primary mediator and Trust as secondary mediator; full sequential mediation tested &amp;</w:t>
      </w:r>
      <w:r>
        <w:t xml:space="preserve"> </w:t>
      </w:r>
      <w:r>
        <w:rPr>
          <w:bCs/>
          <w:b/>
        </w:rPr>
        <w:t xml:space="preserve">First TAM extension that positions RAI governance as the upstream construct of the trust-adoption pathway in clinical AI.</w:t>
      </w:r>
      <w:r>
        <w:br/>
      </w:r>
    </w:p>
    <w:p>
      <w:pPr>
        <w:pStyle w:val="BodyText"/>
      </w:pPr>
      <w:r>
        <w:rPr>
          <w:bCs/>
          <w:b/>
        </w:rPr>
        <w:t xml:space="preserve">Theoretical contribution claim refined:</w:t>
      </w:r>
      <w:r>
        <w:t xml:space="preserve"> </w:t>
      </w:r>
      <w:r>
        <w:t xml:space="preserve">This dissertation extends a recognised lineage of TAM extensions by introducing the</w:t>
      </w:r>
      <w:r>
        <w:t xml:space="preserve"> </w:t>
      </w:r>
      <w:r>
        <w:rPr>
          <w:iCs/>
          <w:i/>
        </w:rPr>
        <w:t xml:space="preserve">governance</w:t>
      </w:r>
      <m:oMath>
        <m:r>
          <m:rPr>
            <m:sty m:val="p"/>
          </m:rPr>
          <m:t>→</m:t>
        </m:r>
      </m:oMath>
      <w:r>
        <w:rPr>
          <w:iCs/>
          <w:i/>
        </w:rPr>
        <w:t xml:space="preserve">explainability</w:t>
      </w:r>
      <m:oMath>
        <m:r>
          <m:rPr>
            <m:sty m:val="p"/>
          </m:rPr>
          <m:t>→</m:t>
        </m:r>
      </m:oMath>
      <w:r>
        <w:rPr>
          <w:iCs/>
          <w:i/>
        </w:rPr>
        <w:t xml:space="preserve">trust</w:t>
      </w:r>
      <m:oMath>
        <m:r>
          <m:rPr>
            <m:sty m:val="p"/>
          </m:rPr>
          <m:t>→</m:t>
        </m:r>
      </m:oMath>
      <w:r>
        <w:rPr>
          <w:iCs/>
          <w:i/>
        </w:rPr>
        <w:t xml:space="preserve">adoption</w:t>
      </w:r>
      <w:r>
        <w:t xml:space="preserve"> </w:t>
      </w:r>
      <w:r>
        <w:t xml:space="preserve">pathway as the specific causal mechanism missing from prior extensions. The contribution is therefore not</w:t>
      </w:r>
      <w:r>
        <w:t xml:space="preserve"> </w:t>
      </w:r>
      <w:r>
        <w:t xml:space="preserve">“</w:t>
      </w:r>
      <w:r>
        <w:t xml:space="preserve">yet another TAM extension</w:t>
      </w:r>
      <w:r>
        <w:t xml:space="preserve">”</w:t>
      </w:r>
      <w:r>
        <w:t xml:space="preserve"> </w:t>
      </w:r>
      <w:r>
        <w:t xml:space="preserve">but a specific structural insertion of Responsible AI governance into the upstream of TAM’s behavioural-intention chain.</w:t>
      </w:r>
    </w:p>
    <w:bookmarkEnd w:id="41"/>
    <w:bookmarkStart w:id="42" w:name="suggested-bibliography-additions"/>
    <w:p>
      <w:pPr>
        <w:pStyle w:val="Heading2"/>
      </w:pPr>
      <w:r>
        <w:t xml:space="preserve">Suggested Bibliography Additions</w:t>
      </w:r>
    </w:p>
    <w:p>
      <w:pPr>
        <w:pStyle w:val="FirstParagraph"/>
      </w:pPr>
      <w:r>
        <w:t xml:space="preserve">The following entries should be added to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to support this subsection: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venkatesh2000theoretical</w:t>
      </w:r>
      <w:r>
        <w:t xml:space="preserve"> </w:t>
      </w:r>
      <w:r>
        <w:t xml:space="preserve">— Venkatesh &amp; Davis (2000), TAM2.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venkatesh2012consumer</w:t>
      </w:r>
      <w:r>
        <w:t xml:space="preserve"> </w:t>
      </w:r>
      <w:r>
        <w:t xml:space="preserve">— Venkatesh, Thong &amp; Xu (2012), UTAUT2.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holden2010technology</w:t>
      </w:r>
      <w:r>
        <w:t xml:space="preserve"> </w:t>
      </w:r>
      <w:r>
        <w:t xml:space="preserve">— Holden &amp; Karsh (2010), healthcare TAM.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wu2011empirical</w:t>
      </w:r>
      <w:r>
        <w:t xml:space="preserve"> </w:t>
      </w:r>
      <w:r>
        <w:t xml:space="preserve">— Wu, Chen, Lin (2011), trust-extended TAM.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gursoy2019consumers</w:t>
      </w:r>
      <w:r>
        <w:t xml:space="preserve"> </w:t>
      </w:r>
      <w:r>
        <w:t xml:space="preserve">— Gursoy et al. (2019), AI-TAM.</w:t>
      </w:r>
    </w:p>
    <w:p>
      <w:pPr>
        <w:pStyle w:val="FirstParagraph"/>
      </w:pPr>
      <w:r>
        <w:t xml:space="preserve">These additions strengthen Chapter 2’s contribution-justification logic and pre-empt the defence question</w:t>
      </w:r>
      <w:r>
        <w:t xml:space="preserve"> </w:t>
      </w:r>
      <w:r>
        <w:t xml:space="preserve">“</w:t>
      </w:r>
      <w:r>
        <w:t xml:space="preserve">has anyone extended TAM with governance as antecedent before?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summary-six-brutal-gaps-closed"/>
    <w:p>
      <w:pPr>
        <w:pStyle w:val="Heading1"/>
      </w:pPr>
      <w:r>
        <w:t xml:space="preserve">Summary: Six Brutal Gaps Closed</w:t>
      </w:r>
    </w:p>
    <w:p>
      <w:pPr>
        <w:pStyle w:val="FirstParagraph"/>
      </w:pPr>
      <w:r>
        <w:t xml:space="preserve">This Submission Compliance &amp; Defense Readiness Pack closes all six brutal gaps identified in the post-reframing audit: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Empirical Data Integrity Statement</w:t>
      </w:r>
      <w:r>
        <w:t xml:space="preserve"> </w:t>
      </w:r>
      <w:r>
        <w:t xml:space="preserve">(Sec. 1): honest re-classification of pilot vs. projected claims; defence-protective.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Required Submission Declarations</w:t>
      </w:r>
      <w:r>
        <w:t xml:space="preserve"> </w:t>
      </w:r>
      <w:r>
        <w:t xml:space="preserve">(Sec. 2): seven candidate-fillable / supervisor-signable declaration pages.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Data Provenance Documentation</w:t>
      </w:r>
      <w:r>
        <w:t xml:space="preserve"> </w:t>
      </w:r>
      <w:r>
        <w:t xml:space="preserve">(Sec. 3): every dataset’s provenance, DUA status, and retention policy.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Cross-reference integrity</w:t>
      </w:r>
      <w:r>
        <w:t xml:space="preserve"> </w:t>
      </w:r>
      <w:r>
        <w:t xml:space="preserve">(Gap 4): pre-existing</w:t>
      </w:r>
      <w:r>
        <w:t xml:space="preserve"> </w:t>
      </w:r>
      <w:r>
        <w:rPr>
          <w:rStyle w:val="VerbatimChar"/>
        </w:rPr>
        <w:t xml:space="preserve">sec:framework</w:t>
      </w:r>
      <w:r>
        <w:t xml:space="preserve"> </w:t>
      </w:r>
      <w:r>
        <w:t xml:space="preserve">undef ref fixed in source.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Defense Logistics Plan</w:t>
      </w:r>
      <w:r>
        <w:t xml:space="preserve"> </w:t>
      </w:r>
      <w:r>
        <w:t xml:space="preserve">(Sec. 4): per-slide timing, committee anticipation, backup plan, 24-hour checklist.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Prior TAM-Governance Extensions</w:t>
      </w:r>
      <w:r>
        <w:t xml:space="preserve"> </w:t>
      </w:r>
      <w:r>
        <w:t xml:space="preserve">(Sec. 5): literature subsection ready to insert into Chapter 2.</w:t>
      </w:r>
    </w:p>
    <w:p>
      <w:pPr>
        <w:pStyle w:val="FirstParagraph"/>
      </w:pPr>
      <w:r>
        <w:t xml:space="preserve">The reframing journey is now genuinely complete. The dissertation is structurally defensible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submission-ready.</w:t>
      </w:r>
    </w:p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Submission Compliance &amp; Defense Readiness Pack</dc:title>
  <dc:creator>Praveen K Asthana Doctoral Candidate, DBA Programme, Golden Gate University</dc:creator>
  <cp:keywords/>
  <dcterms:created xsi:type="dcterms:W3CDTF">2026-05-12T17:11:49Z</dcterms:created>
  <dcterms:modified xsi:type="dcterms:W3CDTF">2026-05-12T17:11:49Z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Final pre-submission documentation. Closes the six brutal-feedback gaps identified post-reframing.</vt:lpwstr>
  </property>
</Properties>
</file>