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Model Risk Review — Enterprise AI Governance Office</w:t>
      </w:r>
    </w:p>
    <w:p>
      <w:r>
        <w:t xml:space="preserve">Pre-deploy risk approval + sign-off.</w:t>
      </w:r>
    </w:p>
    <w:p>
      <w:r>
        <w:t xml:space="preserve">Channels: B2E</w:t>
      </w:r>
    </w:p>
    <w:p>
      <w:r>
        <w:t xml:space="preserve">Stakeholders: ai-governance, risk-officer</w:t>
      </w:r>
    </w:p>
    <w:p>
      <w:r>
        <w:t xml:space="preserve">AI capabilities: risk, governance, explainable, audit</w:t>
      </w:r>
    </w:p>
    <w:p>
      <w:r>
        <w:t xml:space="preserve">Sample artefact generated by build_insurance_catalog.py.</w:t>
      </w:r>
    </w:p>
    <w:sectPr/>
  </w:body>
</w:document>
</file>