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Experience Study — Actuarial</w:t>
      </w:r>
    </w:p>
    <w:p>
      <w:r>
        <w:t xml:space="preserve">Mortality / morbidity / lapse studies + benchmark.</w:t>
      </w:r>
    </w:p>
    <w:p>
      <w:r>
        <w:t xml:space="preserve">Channels: B2E</w:t>
      </w:r>
    </w:p>
    <w:p>
      <w:r>
        <w:t xml:space="preserve">Stakeholders: actuary, data-scientist</w:t>
      </w:r>
    </w:p>
    <w:p>
      <w:r>
        <w:t xml:space="preserve">AI capabilities: forecasting, predictive, benchmark, validation</w:t>
      </w:r>
    </w:p>
    <w:p>
      <w:r>
        <w:t xml:space="preserve">Sample artefact generated by build_insurance_catalog.py.</w:t>
      </w:r>
    </w:p>
    <w:sectPr/>
  </w:body>
</w:document>
</file>