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Complaint Resolution — Customer Service</w:t>
      </w:r>
    </w:p>
    <w:p>
      <w:r>
        <w:t xml:space="preserve">Complaint triage + escalation + root cause + close-loop.</w:t>
      </w:r>
    </w:p>
    <w:p>
      <w:r>
        <w:t xml:space="preserve">Channels: B2C, B2E, B2B</w:t>
      </w:r>
    </w:p>
    <w:p>
      <w:r>
        <w:t xml:space="preserve">Stakeholders: policyholder, csr, compliance-officer</w:t>
      </w:r>
    </w:p>
    <w:p>
      <w:r>
        <w:t xml:space="preserve">AI capabilities: sentiment, decision, documentation, compliance, monitoring</w:t>
      </w:r>
    </w:p>
    <w:p>
      <w:r>
        <w:t xml:space="preserve">Sample artefact generated by build_insurance_catalog.py.</w:t>
      </w:r>
    </w:p>
    <w:sectPr/>
  </w:body>
</w:document>
</file>