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Contract Drafting &amp; Review — Legal</w:t>
      </w:r>
    </w:p>
    <w:p>
      <w:r>
        <w:t xml:space="preserve">Clause library + redline + risk flags.</w:t>
      </w:r>
    </w:p>
    <w:p>
      <w:r>
        <w:t xml:space="preserve">Channels: B2E, B2B</w:t>
      </w:r>
    </w:p>
    <w:p>
      <w:r>
        <w:t xml:space="preserve">Stakeholders: legal-counsel, vendor</w:t>
      </w:r>
    </w:p>
    <w:p>
      <w:r>
        <w:t xml:space="preserve">AI capabilities: contractai, document, search, rag, compliance</w:t>
      </w:r>
    </w:p>
    <w:p>
      <w:r>
        <w:t xml:space="preserve">Sample artefact generated by build_insurance_catalog.py.</w:t>
      </w:r>
    </w:p>
    <w:sectPr/>
  </w:body>
</w:document>
</file>