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Risk Register — Enterprise Risk Management</w:t>
      </w:r>
    </w:p>
    <w:p>
      <w:r>
        <w:t xml:space="preserve">Top risks + control owners + heatmap.</w:t>
      </w:r>
    </w:p>
    <w:p>
      <w:r>
        <w:t xml:space="preserve">Channels: B2E</w:t>
      </w:r>
    </w:p>
    <w:p>
      <w:r>
        <w:t xml:space="preserve">Stakeholders: risk-officer, compliance-officer</w:t>
      </w:r>
    </w:p>
    <w:p>
      <w:r>
        <w:t xml:space="preserve">AI capabilities: enterpriserisk, monitoring, reporting, governance</w:t>
      </w:r>
    </w:p>
    <w:p>
      <w:r>
        <w:t xml:space="preserve">Sample artefact generated by build_insurance_catalog.py.</w:t>
      </w:r>
    </w:p>
    <w:sectPr/>
  </w:body>
</w:document>
</file>