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Endorsement — Policy Administration</w:t>
      </w:r>
    </w:p>
    <w:p>
      <w:r>
        <w:t xml:space="preserve">Mid-term changes + recalc + audit.</w:t>
      </w:r>
    </w:p>
    <w:p>
      <w:r>
        <w:t xml:space="preserve">Channels: B2E, B2C, B2B</w:t>
      </w:r>
    </w:p>
    <w:p>
      <w:r>
        <w:t xml:space="preserve">Stakeholders: csr, policyholder, broker</w:t>
      </w:r>
    </w:p>
    <w:p>
      <w:r>
        <w:t xml:space="preserve">AI capabilities: process, validation, verification, audit</w:t>
      </w:r>
    </w:p>
    <w:p>
      <w:r>
        <w:t xml:space="preserve">Sample artefact generated by build_insurance_catalog.py.</w:t>
      </w:r>
    </w:p>
    <w:sectPr/>
  </w:body>
</w:document>
</file>