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Filing Management — Compliance</w:t>
      </w:r>
    </w:p>
    <w:p>
      <w:r>
        <w:t xml:space="preserve">State DOI + NAIC + EU filings + tracking.</w:t>
      </w:r>
    </w:p>
    <w:p>
      <w:r>
        <w:t xml:space="preserve">Channels: B2E, B2B</w:t>
      </w:r>
    </w:p>
    <w:p>
      <w:r>
        <w:t xml:space="preserve">Stakeholders: compliance-officer, regulator</w:t>
      </w:r>
    </w:p>
    <w:p>
      <w:r>
        <w:t xml:space="preserve">AI capabilities: compliance, validation, documentation, audit</w:t>
      </w:r>
    </w:p>
    <w:p>
      <w:r>
        <w:t xml:space="preserve">Sample artefact generated by build_insurance_catalog.py.</w:t>
      </w:r>
    </w:p>
    <w:sectPr/>
  </w:body>
</w:document>
</file>