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Settlement — Claims</w:t>
      </w:r>
    </w:p>
    <w:p>
      <w:r>
        <w:t xml:space="preserve">Payment + closing letter + recovery posture.</w:t>
      </w:r>
    </w:p>
    <w:p>
      <w:r>
        <w:t xml:space="preserve">Channels: B2E, B2C, B2B</w:t>
      </w:r>
    </w:p>
    <w:p>
      <w:r>
        <w:t xml:space="preserve">Stakeholders: claims-adjuster, claimant</w:t>
      </w:r>
    </w:p>
    <w:p>
      <w:r>
        <w:t xml:space="preserve">AI capabilities: decision, payment, documentation, communication, audit</w:t>
      </w:r>
    </w:p>
    <w:p>
      <w:r>
        <w:t xml:space="preserve">Sample artefact generated by build_insurance_catalog.py.</w:t>
      </w:r>
    </w:p>
    <w:sectPr/>
  </w:body>
</w:document>
</file>