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Litigation Management — Legal</w:t>
      </w:r>
    </w:p>
    <w:p>
      <w:r>
        <w:t xml:space="preserve">Matter management + e-discovery + outcome prediction.</w:t>
      </w:r>
    </w:p>
    <w:p>
      <w:r>
        <w:t xml:space="preserve">Channels: B2E, B2B</w:t>
      </w:r>
    </w:p>
    <w:p>
      <w:r>
        <w:t xml:space="preserve">Stakeholders: legal-counsel, law-firm</w:t>
      </w:r>
    </w:p>
    <w:p>
      <w:r>
        <w:t xml:space="preserve">AI capabilities: litigation, document, predictive, search</w:t>
      </w:r>
    </w:p>
    <w:p>
      <w:r>
        <w:t xml:space="preserve">Sample artefact generated by build_insurance_catalog.py.</w:t>
      </w:r>
    </w:p>
    <w:sectPr/>
  </w:body>
</w:document>
</file>