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Regulatory Tracking — Compliance</w:t>
      </w:r>
    </w:p>
    <w:p>
      <w:r>
        <w:t xml:space="preserve">Horizon scan + impact assessment.</w:t>
      </w:r>
    </w:p>
    <w:p>
      <w:r>
        <w:t xml:space="preserve">Channels: B2E, B2B</w:t>
      </w:r>
    </w:p>
    <w:p>
      <w:r>
        <w:t xml:space="preserve">Stakeholders: compliance-officer, regulator</w:t>
      </w:r>
    </w:p>
    <w:p>
      <w:r>
        <w:t xml:space="preserve">AI capabilities: regulatory, search, rag, documentation, monitoring</w:t>
      </w:r>
    </w:p>
    <w:p>
      <w:r>
        <w:t xml:space="preserve">Sample artefact generated by build_insurance_catalog.py.</w:t>
      </w:r>
    </w:p>
    <w:sectPr/>
  </w:body>
</w:document>
</file>