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Learning Paths — Human Resources</w:t>
      </w:r>
    </w:p>
    <w:p>
      <w:r>
        <w:t xml:space="preserve">Skill-gap driven adaptive learning.</w:t>
      </w:r>
    </w:p>
    <w:p>
      <w:r>
        <w:t xml:space="preserve">Channels: B2E</w:t>
      </w:r>
    </w:p>
    <w:p>
      <w:r>
        <w:t xml:space="preserve">Stakeholders: hr-business-partner, csr</w:t>
      </w:r>
    </w:p>
    <w:p>
      <w:r>
        <w:t xml:space="preserve">AI capabilities: learning, training, coaching, personalization</w:t>
      </w:r>
    </w:p>
    <w:p>
      <w:r>
        <w:t xml:space="preserve">Sample artefact generated by build_insurance_catalog.py.</w:t>
      </w:r>
    </w:p>
    <w:sectPr/>
  </w:body>
</w:document>
</file>