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Policy Issuance — Policy Administration</w:t>
      </w:r>
    </w:p>
    <w:p>
      <w:r>
        <w:t xml:space="preserve">Generate policy docs + welcome pack + first-bill.</w:t>
      </w:r>
    </w:p>
    <w:p>
      <w:r>
        <w:t xml:space="preserve">Channels: B2E, B2C, B2B</w:t>
      </w:r>
    </w:p>
    <w:p>
      <w:r>
        <w:t xml:space="preserve">Stakeholders: policyholder, broker, billing-clerk</w:t>
      </w:r>
    </w:p>
    <w:p>
      <w:r>
        <w:t xml:space="preserve">AI capabilities: workflow, documentation, communication, notification</w:t>
      </w:r>
    </w:p>
    <w:p>
      <w:r>
        <w:t xml:space="preserve">Sample artefact generated by build_insurance_catalog.py.</w:t>
      </w:r>
    </w:p>
    <w:sectPr/>
  </w:body>
</w:document>
</file>