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Regulatory Liaison — Legal</w:t>
      </w:r>
    </w:p>
    <w:p>
      <w:r>
        <w:t xml:space="preserve">Outbound regulator engagement + records.</w:t>
      </w:r>
    </w:p>
    <w:p>
      <w:r>
        <w:t xml:space="preserve">Channels: B2E, B2B</w:t>
      </w:r>
    </w:p>
    <w:p>
      <w:r>
        <w:t xml:space="preserve">Stakeholders: legal-counsel, regulator</w:t>
      </w:r>
    </w:p>
    <w:p>
      <w:r>
        <w:t xml:space="preserve">AI capabilities: regulatory, documentation, communication</w:t>
      </w:r>
    </w:p>
    <w:p>
      <w:r>
        <w:t xml:space="preserve">Sample artefact generated by build_insurance_catalog.py.</w:t>
      </w:r>
    </w:p>
    <w:sectPr/>
  </w:body>
</w:document>
</file>