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Product Design &amp; Filing — Product Management</w:t>
      </w:r>
    </w:p>
    <w:p>
      <w:r>
        <w:t xml:space="preserve">Concept → spec → state DOI filing for new insurance products.</w:t>
      </w:r>
    </w:p>
    <w:p>
      <w:r>
        <w:t xml:space="preserve">Channels: B2E, B2B</w:t>
      </w:r>
    </w:p>
    <w:p>
      <w:r>
        <w:t xml:space="preserve">Stakeholders: product-manager, actuary, compliance-officer, regulator</w:t>
      </w:r>
    </w:p>
    <w:p>
      <w:r>
        <w:t xml:space="preserve">AI capabilities: product, simulation, scenario, compliance, governance, fairness</w:t>
      </w:r>
    </w:p>
    <w:p>
      <w:r>
        <w:t xml:space="preserve">Sample artefact generated by build_insurance_catalog.py.</w:t>
      </w:r>
    </w:p>
    <w:sectPr/>
  </w:body>
</w:document>
</file>