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Audit Response — Compliance</w:t>
      </w:r>
    </w:p>
    <w:p>
      <w:r>
        <w:t xml:space="preserve">Internal + external audit findings + remediation.</w:t>
      </w:r>
    </w:p>
    <w:p>
      <w:r>
        <w:t xml:space="preserve">Channels: B2E, B2B</w:t>
      </w:r>
    </w:p>
    <w:p>
      <w:r>
        <w:t xml:space="preserve">Stakeholders: compliance-officer, auditor</w:t>
      </w:r>
    </w:p>
    <w:p>
      <w:r>
        <w:t xml:space="preserve">AI capabilities: audit, documentation, explainable, trust</w:t>
      </w:r>
    </w:p>
    <w:p>
      <w:r>
        <w:t xml:space="preserve">Sample artefact generated by build_insurance_catalog.py.</w:t>
      </w:r>
    </w:p>
    <w:sectPr/>
  </w:body>
</w:document>
</file>