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Project Foundation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Core Foundation, Governance, and Standards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None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Charter, Constitution, Manifesto, Onboarding, Repository Structure, Engineering Standards, and Glossary drafts.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[Project Charter](#project-charter)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[NOVA Constitution](#nova-constitution)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[NOVA Manifesto](#nova-manifesto)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[Engineer Onboarding (Antigravity Role)](#engineer-onboarding-antigravity-role)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[Repository Structure Specification](#repository-structure-specification)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[Engineering Standards](#engineering-standards)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[Documentation Standards](#documentation-standards)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[Canonical Glossary](#canonical-glossary)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[Foundation Roadmap](#foundation-roadmap)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This specification establishes the organizational, architectural, and operational baseline for Project NOVA. It binds all contributors—both human and AI—to unified coding, architectural, security, and procedural standards.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Charter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Build NOVA as a secure, modular, and model-independent AI Operating Platform.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Mission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Transform human intentions into safe, explainable, and intelligent execution across operating system environments.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Roles &amp; Responsibilities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Praveen (Project Founder &amp; Product Owner):</w:t>
      </w:r>
      <w:r>
        <w:rPr>
          <w:rFonts w:ascii="Arial" w:hAnsi="Arial"/>
          <w:color w:val="333333"/>
          <w:sz w:val="21"/>
        </w:rPr>
        <w:t xml:space="preserve"> Sets the product vision, prioritizes milestones, runs verification tests, and provides final approvals.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ChatGPT (Chief Architect):</w:t>
      </w:r>
      <w:r>
        <w:rPr>
          <w:rFonts w:ascii="Arial" w:hAnsi="Arial"/>
          <w:color w:val="333333"/>
          <w:sz w:val="21"/>
        </w:rPr>
        <w:t xml:space="preserve"> Defines high-level platform architecture, authors technical specifications, sets security and coding standards, and conducts architectural reviews.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Antigravity (Lead Software Engineering Agent):</w:t>
      </w:r>
      <w:r>
        <w:rPr>
          <w:rFonts w:ascii="Arial" w:hAnsi="Arial"/>
          <w:color w:val="333333"/>
          <w:sz w:val="21"/>
        </w:rPr>
        <w:t xml:space="preserve"> Implements approved specifications, produces production-quality code, writes comprehensive unit tests, and conducts refactorings.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Golden Rule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No code implementation begins until its high-level design and specific software requirements are approved by the Chief Architect.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NOVA Constitution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core principles of Project NOVA are: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Platform First:</w:t>
      </w:r>
      <w:r>
        <w:rPr>
          <w:rFonts w:ascii="Arial" w:hAnsi="Arial"/>
          <w:color w:val="333333"/>
          <w:sz w:val="21"/>
        </w:rPr>
        <w:t xml:space="preserve"> Focus on building a reusable intelligence platform rather than a collection of ad-hoc automation scripts.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Architecture Before Implementation:</w:t>
      </w:r>
      <w:r>
        <w:rPr>
          <w:rFonts w:ascii="Arial" w:hAnsi="Arial"/>
          <w:color w:val="333333"/>
          <w:sz w:val="21"/>
        </w:rPr>
        <w:t xml:space="preserve"> Design interfaces and write specifications before writing code.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Security by Design:</w:t>
      </w:r>
      <w:r>
        <w:rPr>
          <w:rFonts w:ascii="Arial" w:hAnsi="Arial"/>
          <w:color w:val="333333"/>
          <w:sz w:val="21"/>
        </w:rPr>
        <w:t xml:space="preserve"> Enforce tool-level permissions, run verification checks, and capture complete audit trails.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Human Oversight:</w:t>
      </w:r>
      <w:r>
        <w:rPr>
          <w:rFonts w:ascii="Arial" w:hAnsi="Arial"/>
          <w:color w:val="333333"/>
          <w:sz w:val="21"/>
        </w:rPr>
        <w:t xml:space="preserve"> Maintain user-in-the-loop validation barriers for destructive actions and support immediate emergency abort signals.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Explainable Behavior:</w:t>
      </w:r>
      <w:r>
        <w:rPr>
          <w:rFonts w:ascii="Arial" w:hAnsi="Arial"/>
          <w:color w:val="333333"/>
          <w:sz w:val="21"/>
        </w:rPr>
        <w:t xml:space="preserve"> Ensure the planning logic, context state, and action steps are readable and auditable.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Modularity:</w:t>
      </w:r>
      <w:r>
        <w:rPr>
          <w:rFonts w:ascii="Arial" w:hAnsi="Arial"/>
          <w:color w:val="333333"/>
          <w:sz w:val="21"/>
        </w:rPr>
        <w:t xml:space="preserve"> Ensure engines, services, and tools are decoupled and communicate exclusively via interfaces or event loops.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Offline-First Where Practical:</w:t>
      </w:r>
      <w:r>
        <w:rPr>
          <w:rFonts w:ascii="Arial" w:hAnsi="Arial"/>
          <w:color w:val="333333"/>
          <w:sz w:val="21"/>
        </w:rPr>
        <w:t xml:space="preserve"> Route local automation commands to local engines to preserve privacy and function without internet access.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Model Independence:</w:t>
      </w:r>
      <w:r>
        <w:rPr>
          <w:rFonts w:ascii="Arial" w:hAnsi="Arial"/>
          <w:color w:val="333333"/>
          <w:sz w:val="21"/>
        </w:rPr>
        <w:t xml:space="preserve"> Design provider adapters so LLM, STT, and TTS engines are swappable.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Quality Over Speed:</w:t>
      </w:r>
      <w:r>
        <w:rPr>
          <w:rFonts w:ascii="Arial" w:hAnsi="Arial"/>
          <w:color w:val="333333"/>
          <w:sz w:val="21"/>
        </w:rPr>
        <w:t xml:space="preserve"> Prioritize clean, typed, and well-tested code over fast delivery.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Long-Term Maintainability:</w:t>
      </w:r>
      <w:r>
        <w:rPr>
          <w:rFonts w:ascii="Arial" w:hAnsi="Arial"/>
          <w:color w:val="333333"/>
          <w:sz w:val="21"/>
        </w:rPr>
        <w:t xml:space="preserve"> Think about system scaling requirements for future versions.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NOVA Manifesto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Operating systems execute commands. NOVA understands intentions.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We are building an intelligence layer that sits above the operating system to transform human intentions into safe, explainable, and intelligent execution.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Engineer Onboarding (Antigravity Role)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As the Lead Software Engineering Agent: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Do:</w:t>
      </w:r>
      <w:r>
        <w:rPr>
          <w:rFonts w:ascii="Arial" w:hAnsi="Arial"/>
          <w:color w:val="333333"/>
          <w:sz w:val="21"/>
        </w:rPr>
        <w:t xml:space="preserve"> Implement approved specifications, write comprehensive test suites, keep modules decoupled, and report architectural concerns.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Don't:</w:t>
      </w:r>
      <w:r>
        <w:rPr>
          <w:rFonts w:ascii="Arial" w:hAnsi="Arial"/>
          <w:color w:val="333333"/>
          <w:sz w:val="21"/>
        </w:rPr>
        <w:t xml:space="preserve"> Rewrite core architectures without approval, bypass permission policy checks, hardcode configuration keys, or implement hidden behaviors.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Repository Structure Specification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Root Layout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Every Project NOVA repository must conform to the following directory layout: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`00_Blueprint/`: Engineering specifications, requirements, and Architectural Decision Records (ADRs). No code.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`01_Source/`: Core package source code, tests, configuration schemas, and build targets.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`02_Research/`: Proofs of concept, accuracy benchmarks, and evaluation notebooks.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`03_Experiments/`: Temporary developer playgrounds and spikes.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`04_Releases/`: Packaging logs and binary targets.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`05_Templates/`: Engineering document templates (PRS, SRS, ADR, LLD).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`06_Tools/`: Local developer scripts, compiler tools, and CI pipelines.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Module Rules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Every module in `01_Source/` must have a corresponding test file under `tests/`.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Modules must communicate via clean interface classes or event streams to prevent circular imports.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Engineering Standards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Every production module must comply with the following conventions: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Strong Typing:</w:t>
      </w:r>
      <w:r>
        <w:rPr>
          <w:rFonts w:ascii="Arial" w:hAnsi="Arial"/>
          <w:color w:val="333333"/>
          <w:sz w:val="21"/>
        </w:rPr>
        <w:t xml:space="preserve"> Python type hinting is mandatory on all function signatures, variables, and returns.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Comprehensive Logging:</w:t>
      </w:r>
      <w:r>
        <w:rPr>
          <w:rFonts w:ascii="Arial" w:hAnsi="Arial"/>
          <w:color w:val="333333"/>
          <w:sz w:val="21"/>
        </w:rPr>
        <w:t xml:space="preserve"> Emit standard events and logs indicating execution states, data inputs, and warnings.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Structured Error Handling:</w:t>
      </w:r>
      <w:r>
        <w:rPr>
          <w:rFonts w:ascii="Arial" w:hAnsi="Arial"/>
          <w:color w:val="333333"/>
          <w:sz w:val="21"/>
        </w:rPr>
        <w:t xml:space="preserve"> Catch and handle failures gracefully. Never let unhandled thread crashes occur.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Externalized Configuration:</w:t>
      </w:r>
      <w:r>
        <w:rPr>
          <w:rFonts w:ascii="Arial" w:hAnsi="Arial"/>
          <w:color w:val="333333"/>
          <w:sz w:val="21"/>
        </w:rPr>
        <w:t xml:space="preserve"> All configurations must live outside code modules in settings files.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Separation of Logic:</w:t>
      </w:r>
      <w:r>
        <w:rPr>
          <w:rFonts w:ascii="Arial" w:hAnsi="Arial"/>
          <w:color w:val="333333"/>
          <w:sz w:val="21"/>
        </w:rPr>
        <w:t xml:space="preserve"> Decouple stateful reasoning (engines) from stateless workers (services).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Documentation Standards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Every blueprint document must enforce the standard cover block: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Document ID:</w:t>
      </w:r>
      <w:r>
        <w:rPr>
          <w:rFonts w:ascii="Arial" w:hAnsi="Arial"/>
          <w:color w:val="333333"/>
          <w:sz w:val="21"/>
        </w:rPr>
        <w:t xml:space="preserve"> Standard format: `NOVA-TYPE-NUMBER`.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Version:</w:t>
      </w:r>
      <w:r>
        <w:rPr>
          <w:rFonts w:ascii="Arial" w:hAnsi="Arial"/>
          <w:color w:val="333333"/>
          <w:sz w:val="21"/>
        </w:rPr>
        <w:t xml:space="preserve"> Numeric versioning index.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`DRAFT`, `UNDER REVIEW`, `APPROVED`, or `ACTIVE`.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List related specifications.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Revision History Table:</w:t>
      </w:r>
      <w:r>
        <w:rPr>
          <w:rFonts w:ascii="Arial" w:hAnsi="Arial"/>
          <w:color w:val="333333"/>
          <w:sz w:val="21"/>
        </w:rPr>
        <w:t xml:space="preserve"> Detailed summary of historical changes.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Canonical Glossary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Goal:</w:t>
      </w:r>
      <w:r>
        <w:rPr>
          <w:rFonts w:ascii="Arial" w:hAnsi="Arial"/>
          <w:color w:val="333333"/>
          <w:sz w:val="21"/>
        </w:rPr>
        <w:t xml:space="preserve"> A natural-language intention provided by the user.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Intention:</w:t>
      </w:r>
      <w:r>
        <w:rPr>
          <w:rFonts w:ascii="Arial" w:hAnsi="Arial"/>
          <w:color w:val="333333"/>
          <w:sz w:val="21"/>
        </w:rPr>
        <w:t xml:space="preserve"> A structured representation of a Goal classified by intent.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Plan:</w:t>
      </w:r>
      <w:r>
        <w:rPr>
          <w:rFonts w:ascii="Arial" w:hAnsi="Arial"/>
          <w:color w:val="333333"/>
          <w:sz w:val="21"/>
        </w:rPr>
        <w:t xml:space="preserve"> An ordered sequence of Tasks compiled by the Planner.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Task:</w:t>
      </w:r>
      <w:r>
        <w:rPr>
          <w:rFonts w:ascii="Arial" w:hAnsi="Arial"/>
          <w:color w:val="333333"/>
          <w:sz w:val="21"/>
        </w:rPr>
        <w:t xml:space="preserve"> A discrete unit of work within a Plan.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Action:</w:t>
      </w:r>
      <w:r>
        <w:rPr>
          <w:rFonts w:ascii="Arial" w:hAnsi="Arial"/>
          <w:color w:val="333333"/>
          <w:sz w:val="21"/>
        </w:rPr>
        <w:t xml:space="preserve"> An atomic OS-level operation (e.g. key press, cursor click).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Capability:</w:t>
      </w:r>
      <w:r>
        <w:rPr>
          <w:rFonts w:ascii="Arial" w:hAnsi="Arial"/>
          <w:color w:val="333333"/>
          <w:sz w:val="21"/>
        </w:rPr>
        <w:t xml:space="preserve"> A reusable platform ability (e.g., Browser Control, Vision).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Skill:</w:t>
      </w:r>
      <w:r>
        <w:rPr>
          <w:rFonts w:ascii="Arial" w:hAnsi="Arial"/>
          <w:color w:val="333333"/>
          <w:sz w:val="21"/>
        </w:rPr>
        <w:t xml:space="preserve"> A user-facing grouping of capabilities (e.g., Coding Assistant).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Engine:</w:t>
      </w:r>
      <w:r>
        <w:rPr>
          <w:rFonts w:ascii="Arial" w:hAnsi="Arial"/>
          <w:color w:val="333333"/>
          <w:sz w:val="21"/>
        </w:rPr>
        <w:t xml:space="preserve"> A stateful, long-running intelligence subsystem.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Service:</w:t>
      </w:r>
      <w:r>
        <w:rPr>
          <w:rFonts w:ascii="Arial" w:hAnsi="Arial"/>
          <w:color w:val="333333"/>
          <w:sz w:val="21"/>
        </w:rPr>
        <w:t xml:space="preserve"> A stateless backend worker utility.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Adapter:</w:t>
      </w:r>
      <w:r>
        <w:rPr>
          <w:rFonts w:ascii="Arial" w:hAnsi="Arial"/>
          <w:color w:val="333333"/>
          <w:sz w:val="21"/>
        </w:rPr>
        <w:t xml:space="preserve"> An interface wrapper connecting NOVA to external system APIs.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Tool:</w:t>
      </w:r>
      <w:r>
        <w:rPr>
          <w:rFonts w:ascii="Arial" w:hAnsi="Arial"/>
          <w:color w:val="333333"/>
          <w:sz w:val="21"/>
        </w:rPr>
        <w:t xml:space="preserve"> An external utility or executable registered with the platform.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Provider:</w:t>
      </w:r>
      <w:r>
        <w:rPr>
          <w:rFonts w:ascii="Arial" w:hAnsi="Arial"/>
          <w:color w:val="333333"/>
          <w:sz w:val="21"/>
        </w:rPr>
        <w:t xml:space="preserve"> An external model or cloud service supplier.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Foundation Roadmap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project progresses through the following milestones: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Foundation Pack:</w:t>
      </w:r>
      <w:r>
        <w:rPr>
          <w:rFonts w:ascii="Arial" w:hAnsi="Arial"/>
          <w:color w:val="333333"/>
          <w:sz w:val="21"/>
        </w:rPr>
        <w:t xml:space="preserve"> Establishes governance and index specs (Current Phase).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Product Pack:</w:t>
      </w:r>
      <w:r>
        <w:rPr>
          <w:rFonts w:ascii="Arial" w:hAnsi="Arial"/>
          <w:color w:val="333333"/>
          <w:sz w:val="21"/>
        </w:rPr>
        <w:t xml:space="preserve"> Details target user personas and goals.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Architecture Pack:</w:t>
      </w:r>
      <w:r>
        <w:rPr>
          <w:rFonts w:ascii="Arial" w:hAnsi="Arial"/>
          <w:color w:val="333333"/>
          <w:sz w:val="21"/>
        </w:rPr>
        <w:t xml:space="preserve"> Outlines core engines and interfaces.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AI Pack:</w:t>
      </w:r>
      <w:r>
        <w:rPr>
          <w:rFonts w:ascii="Arial" w:hAnsi="Arial"/>
          <w:color w:val="333333"/>
          <w:sz w:val="21"/>
        </w:rPr>
        <w:t xml:space="preserve"> Establishes model providers and cognitive loops.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Capability Packs:</w:t>
      </w:r>
      <w:r>
        <w:rPr>
          <w:rFonts w:ascii="Arial" w:hAnsi="Arial"/>
          <w:color w:val="333333"/>
          <w:sz w:val="21"/>
        </w:rPr>
        <w:t xml:space="preserve"> Details individual automation specifications.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Implementation:</w:t>
      </w:r>
      <w:r>
        <w:rPr>
          <w:rFonts w:ascii="Arial" w:hAnsi="Arial"/>
          <w:color w:val="333333"/>
          <w:sz w:val="21"/>
        </w:rPr>
        <w:t xml:space="preserve"> Development of platform components and integration checks.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