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480" w:after="240"/>
        <w:jc w:val="center"/>
      </w:pPr>
      <w:r>
        <w:rPr>
          <w:b/>
          <w:color w:val="1B365D"/>
          <w:sz w:val="44"/>
        </w:rPr>
        <w:t>System Architecture Specification</w:t>
      </w:r>
    </w:p>
    <w:p>
      <w:pPr>
        <w:keepNext/>
        <w:spacing w:before="360" w:after="160"/>
      </w:pPr>
      <w:r>
        <w:rPr>
          <w:b/>
          <w:color w:val="1B365D"/>
          <w:sz w:val="32"/>
        </w:rPr>
        <w:t>Project NOVA High-Level Architecture, Component Layering, and Interface Contracts</w:t>
      </w:r>
    </w:p>
    <w:p>
      <w:pPr>
        <w:spacing w:after="120" w:line="276" w:lineRule="auto"/>
      </w:pPr>
      <w:r>
        <w:rPr>
          <w:rFonts w:ascii="Arial" w:hAnsi="Arial"/>
          <w:color w:val="333333"/>
          <w:sz w:val="21"/>
        </w:rPr>
        <w:t>---</w:t>
      </w:r>
    </w:p>
    <w:tbl>
      <w:tblPr>
        <w:tblW w:type="auto" w:w="0"/>
        <w:tblLayout w:type="fixed"/>
        <w:tblLook w:firstColumn="1" w:firstRow="1" w:lastColumn="0" w:lastRow="0" w:noHBand="0" w:noVBand="1" w:val="04A0"/>
      </w:tblPr>
      <w:tblGrid>
        <w:gridCol w:w="4680"/>
        <w:gridCol w:w="4680"/>
      </w:tblGrid>
      <w:tr>
        <w:tc>
          <w:tcPr>
            <w:tcW w:type="dxa" w:w="4680"/>
            <w:shd w:fill="1B365D"/>
            <w:tcMar>
              <w:top w:w="120" w:type="dxa"/>
              <w:bottom w:w="120" w:type="dxa"/>
              <w:left w:w="150" w:type="dxa"/>
              <w:right w:w="150" w:type="dxa"/>
            </w:tcMar>
          </w:tcPr>
          <w:p>
            <w:r>
              <w:rPr>
                <w:rFonts w:ascii="Arial" w:hAnsi="Arial"/>
                <w:b/>
                <w:color w:val="FFFFFF"/>
                <w:sz w:val="20"/>
              </w:rPr>
              <w:t>Field</w:t>
            </w:r>
          </w:p>
        </w:tc>
        <w:tc>
          <w:tcPr>
            <w:tcW w:type="dxa" w:w="4680"/>
            <w:shd w:fill="1B365D"/>
            <w:tcMar>
              <w:top w:w="120" w:type="dxa"/>
              <w:bottom w:w="120" w:type="dxa"/>
              <w:left w:w="150" w:type="dxa"/>
              <w:right w:w="150" w:type="dxa"/>
            </w:tcMar>
          </w:tcPr>
          <w:p>
            <w:r>
              <w:rPr>
                <w:rFonts w:ascii="Arial" w:hAnsi="Arial"/>
                <w:b/>
                <w:color w:val="FFFFFF"/>
                <w:sz w:val="20"/>
              </w:rPr>
              <w:t>Value</w:t>
            </w:r>
          </w:p>
        </w:tc>
      </w:tr>
      <w:tr>
        <w:tc>
          <w:tcPr>
            <w:tcW w:type="dxa" w:w="4680"/>
            <w:shd w:fill="FFFFFF"/>
            <w:tcMar>
              <w:top w:w="100" w:type="dxa"/>
              <w:bottom w:w="100" w:type="dxa"/>
              <w:left w:w="150" w:type="dxa"/>
              <w:right w:w="150" w:type="dxa"/>
            </w:tcMar>
          </w:tcPr>
          <w:p>
            <w:pPr>
              <w:spacing w:after="40"/>
            </w:pPr>
            <w:r>
              <w:rPr>
                <w:rFonts w:ascii="Arial" w:hAnsi="Arial"/>
                <w:color w:val="333333"/>
                <w:sz w:val="19"/>
              </w:rPr>
              <w:t>**Document ID**</w:t>
            </w:r>
          </w:p>
        </w:tc>
        <w:tc>
          <w:tcPr>
            <w:tcW w:type="dxa" w:w="4680"/>
            <w:shd w:fill="FFFFFF"/>
            <w:tcMar>
              <w:top w:w="100" w:type="dxa"/>
              <w:bottom w:w="100" w:type="dxa"/>
              <w:left w:w="150" w:type="dxa"/>
              <w:right w:w="150" w:type="dxa"/>
            </w:tcMar>
          </w:tcPr>
          <w:p>
            <w:pPr>
              <w:spacing w:after="40"/>
            </w:pPr>
            <w:r>
              <w:rPr>
                <w:rFonts w:ascii="Arial" w:hAnsi="Arial"/>
                <w:color w:val="333333"/>
                <w:sz w:val="19"/>
              </w:rPr>
              <w:t>NOVA-SPEC-003</w:t>
            </w:r>
          </w:p>
        </w:tc>
      </w:tr>
      <w:tr>
        <w:tc>
          <w:tcPr>
            <w:tcW w:type="dxa" w:w="4680"/>
            <w:shd w:fill="F9FBFD"/>
            <w:tcMar>
              <w:top w:w="100" w:type="dxa"/>
              <w:bottom w:w="100" w:type="dxa"/>
              <w:left w:w="150" w:type="dxa"/>
              <w:right w:w="150" w:type="dxa"/>
            </w:tcMar>
          </w:tcPr>
          <w:p>
            <w:pPr>
              <w:spacing w:after="40"/>
            </w:pPr>
            <w:r>
              <w:rPr>
                <w:rFonts w:ascii="Arial" w:hAnsi="Arial"/>
                <w:color w:val="333333"/>
                <w:sz w:val="19"/>
              </w:rPr>
              <w:t>**Version**</w:t>
            </w:r>
          </w:p>
        </w:tc>
        <w:tc>
          <w:tcPr>
            <w:tcW w:type="dxa" w:w="4680"/>
            <w:shd w:fill="F9FBFD"/>
            <w:tcMar>
              <w:top w:w="100" w:type="dxa"/>
              <w:bottom w:w="100" w:type="dxa"/>
              <w:left w:w="150" w:type="dxa"/>
              <w:right w:w="150" w:type="dxa"/>
            </w:tcMar>
          </w:tcPr>
          <w:p>
            <w:pPr>
              <w:spacing w:after="40"/>
            </w:pPr>
            <w:r>
              <w:rPr>
                <w:rFonts w:ascii="Arial" w:hAnsi="Arial"/>
                <w:color w:val="333333"/>
                <w:sz w:val="19"/>
              </w:rPr>
              <w:t>1.0</w:t>
            </w:r>
          </w:p>
        </w:tc>
      </w:tr>
      <w:tr>
        <w:tc>
          <w:tcPr>
            <w:tcW w:type="dxa" w:w="4680"/>
            <w:shd w:fill="FFFFFF"/>
            <w:tcMar>
              <w:top w:w="100" w:type="dxa"/>
              <w:bottom w:w="100" w:type="dxa"/>
              <w:left w:w="150" w:type="dxa"/>
              <w:right w:w="150" w:type="dxa"/>
            </w:tcMar>
          </w:tcPr>
          <w:p>
            <w:pPr>
              <w:spacing w:after="40"/>
            </w:pPr>
            <w:r>
              <w:rPr>
                <w:rFonts w:ascii="Arial" w:hAnsi="Arial"/>
                <w:color w:val="333333"/>
                <w:sz w:val="19"/>
              </w:rPr>
              <w:t>**Status**</w:t>
            </w:r>
          </w:p>
        </w:tc>
        <w:tc>
          <w:tcPr>
            <w:tcW w:type="dxa" w:w="4680"/>
            <w:shd w:fill="FFFFFF"/>
            <w:tcMar>
              <w:top w:w="100" w:type="dxa"/>
              <w:bottom w:w="100" w:type="dxa"/>
              <w:left w:w="150" w:type="dxa"/>
              <w:right w:w="150" w:type="dxa"/>
            </w:tcMar>
          </w:tcPr>
          <w:p>
            <w:pPr>
              <w:spacing w:after="40"/>
            </w:pPr>
            <w:r>
              <w:rPr>
                <w:rFonts w:ascii="Arial" w:hAnsi="Arial"/>
                <w:color w:val="333333"/>
                <w:sz w:val="19"/>
              </w:rPr>
              <w:t>`APPROVED`</w:t>
            </w:r>
          </w:p>
        </w:tc>
      </w:tr>
      <w:tr>
        <w:tc>
          <w:tcPr>
            <w:tcW w:type="dxa" w:w="4680"/>
            <w:shd w:fill="F9FBFD"/>
            <w:tcMar>
              <w:top w:w="100" w:type="dxa"/>
              <w:bottom w:w="100" w:type="dxa"/>
              <w:left w:w="150" w:type="dxa"/>
              <w:right w:w="150" w:type="dxa"/>
            </w:tcMar>
          </w:tcPr>
          <w:p>
            <w:pPr>
              <w:spacing w:after="40"/>
            </w:pPr>
            <w:r>
              <w:rPr>
                <w:rFonts w:ascii="Arial" w:hAnsi="Arial"/>
                <w:color w:val="333333"/>
                <w:sz w:val="19"/>
              </w:rPr>
              <w:t>**Author**</w:t>
            </w:r>
          </w:p>
        </w:tc>
        <w:tc>
          <w:tcPr>
            <w:tcW w:type="dxa" w:w="4680"/>
            <w:shd w:fill="F9FBFD"/>
            <w:tcMar>
              <w:top w:w="100" w:type="dxa"/>
              <w:bottom w:w="100" w:type="dxa"/>
              <w:left w:w="150" w:type="dxa"/>
              <w:right w:w="150" w:type="dxa"/>
            </w:tcMar>
          </w:tcPr>
          <w:p>
            <w:pPr>
              <w:spacing w:after="40"/>
            </w:pPr>
            <w:r>
              <w:rPr>
                <w:rFonts w:ascii="Arial" w:hAnsi="Arial"/>
                <w:color w:val="333333"/>
                <w:sz w:val="19"/>
              </w:rPr>
              <w:t>Antigravity (Lead Software Engineering Agent)</w:t>
            </w:r>
          </w:p>
        </w:tc>
      </w:tr>
      <w:tr>
        <w:tc>
          <w:tcPr>
            <w:tcW w:type="dxa" w:w="4680"/>
            <w:shd w:fill="FFFFFF"/>
            <w:tcMar>
              <w:top w:w="100" w:type="dxa"/>
              <w:bottom w:w="100" w:type="dxa"/>
              <w:left w:w="150" w:type="dxa"/>
              <w:right w:w="150" w:type="dxa"/>
            </w:tcMar>
          </w:tcPr>
          <w:p>
            <w:pPr>
              <w:spacing w:after="40"/>
            </w:pPr>
            <w:r>
              <w:rPr>
                <w:rFonts w:ascii="Arial" w:hAnsi="Arial"/>
                <w:color w:val="333333"/>
                <w:sz w:val="19"/>
              </w:rPr>
              <w:t>**Reviewer**</w:t>
            </w:r>
          </w:p>
        </w:tc>
        <w:tc>
          <w:tcPr>
            <w:tcW w:type="dxa" w:w="4680"/>
            <w:shd w:fill="FFFFFF"/>
            <w:tcMar>
              <w:top w:w="100" w:type="dxa"/>
              <w:bottom w:w="100" w:type="dxa"/>
              <w:left w:w="150" w:type="dxa"/>
              <w:right w:w="150" w:type="dxa"/>
            </w:tcMar>
          </w:tcPr>
          <w:p>
            <w:pPr>
              <w:spacing w:after="40"/>
            </w:pPr>
            <w:r>
              <w:rPr>
                <w:rFonts w:ascii="Arial" w:hAnsi="Arial"/>
                <w:color w:val="333333"/>
                <w:sz w:val="19"/>
              </w:rPr>
              <w:t>ChatGPT (Chief Architect)</w:t>
            </w:r>
          </w:p>
        </w:tc>
      </w:tr>
      <w:tr>
        <w:tc>
          <w:tcPr>
            <w:tcW w:type="dxa" w:w="4680"/>
            <w:shd w:fill="F9FBFD"/>
            <w:tcMar>
              <w:top w:w="100" w:type="dxa"/>
              <w:bottom w:w="100" w:type="dxa"/>
              <w:left w:w="150" w:type="dxa"/>
              <w:right w:w="150" w:type="dxa"/>
            </w:tcMar>
          </w:tcPr>
          <w:p>
            <w:pPr>
              <w:spacing w:after="40"/>
            </w:pPr>
            <w:r>
              <w:rPr>
                <w:rFonts w:ascii="Arial" w:hAnsi="Arial"/>
                <w:color w:val="333333"/>
                <w:sz w:val="19"/>
              </w:rPr>
              <w:t>**Approved By**</w:t>
            </w:r>
          </w:p>
        </w:tc>
        <w:tc>
          <w:tcPr>
            <w:tcW w:type="dxa" w:w="4680"/>
            <w:shd w:fill="F9FBFD"/>
            <w:tcMar>
              <w:top w:w="100" w:type="dxa"/>
              <w:bottom w:w="100" w:type="dxa"/>
              <w:left w:w="150" w:type="dxa"/>
              <w:right w:w="150" w:type="dxa"/>
            </w:tcMar>
          </w:tcPr>
          <w:p>
            <w:pPr>
              <w:spacing w:after="40"/>
            </w:pPr>
            <w:r>
              <w:rPr>
                <w:rFonts w:ascii="Arial" w:hAnsi="Arial"/>
                <w:color w:val="333333"/>
                <w:sz w:val="19"/>
              </w:rPr>
              <w:t>Praveen (Project Founder)</w:t>
            </w:r>
          </w:p>
        </w:tc>
      </w:tr>
      <w:tr>
        <w:tc>
          <w:tcPr>
            <w:tcW w:type="dxa" w:w="4680"/>
            <w:shd w:fill="FFFFFF"/>
            <w:tcMar>
              <w:top w:w="100" w:type="dxa"/>
              <w:bottom w:w="100" w:type="dxa"/>
              <w:left w:w="150" w:type="dxa"/>
              <w:right w:w="150" w:type="dxa"/>
            </w:tcMar>
          </w:tcPr>
          <w:p>
            <w:pPr>
              <w:spacing w:after="40"/>
            </w:pPr>
            <w:r>
              <w:rPr>
                <w:rFonts w:ascii="Arial" w:hAnsi="Arial"/>
                <w:color w:val="333333"/>
                <w:sz w:val="19"/>
              </w:rPr>
              <w:t>**Created**</w:t>
            </w:r>
          </w:p>
        </w:tc>
        <w:tc>
          <w:tcPr>
            <w:tcW w:type="dxa" w:w="4680"/>
            <w:shd w:fill="FFFFFF"/>
            <w:tcMar>
              <w:top w:w="100" w:type="dxa"/>
              <w:bottom w:w="100" w:type="dxa"/>
              <w:left w:w="150" w:type="dxa"/>
              <w:right w:w="150" w:type="dxa"/>
            </w:tcMar>
          </w:tcPr>
          <w:p>
            <w:pPr>
              <w:spacing w:after="40"/>
            </w:pPr>
            <w:r>
              <w:rPr>
                <w:rFonts w:ascii="Arial" w:hAnsi="Arial"/>
                <w:color w:val="333333"/>
                <w:sz w:val="19"/>
              </w:rPr>
              <w:t>2026-06-28</w:t>
            </w:r>
          </w:p>
        </w:tc>
      </w:tr>
      <w:tr>
        <w:tc>
          <w:tcPr>
            <w:tcW w:type="dxa" w:w="4680"/>
            <w:shd w:fill="F9FBFD"/>
            <w:tcMar>
              <w:top w:w="100" w:type="dxa"/>
              <w:bottom w:w="100" w:type="dxa"/>
              <w:left w:w="150" w:type="dxa"/>
              <w:right w:w="150" w:type="dxa"/>
            </w:tcMar>
          </w:tcPr>
          <w:p>
            <w:pPr>
              <w:spacing w:after="40"/>
            </w:pPr>
            <w:r>
              <w:rPr>
                <w:rFonts w:ascii="Arial" w:hAnsi="Arial"/>
                <w:color w:val="333333"/>
                <w:sz w:val="19"/>
              </w:rPr>
              <w:t>**Last Updated**</w:t>
            </w:r>
          </w:p>
        </w:tc>
        <w:tc>
          <w:tcPr>
            <w:tcW w:type="dxa" w:w="4680"/>
            <w:shd w:fill="F9FBFD"/>
            <w:tcMar>
              <w:top w:w="100" w:type="dxa"/>
              <w:bottom w:w="100" w:type="dxa"/>
              <w:left w:w="150" w:type="dxa"/>
              <w:right w:w="150" w:type="dxa"/>
            </w:tcMar>
          </w:tcPr>
          <w:p>
            <w:pPr>
              <w:spacing w:after="40"/>
            </w:pPr>
            <w:r>
              <w:rPr>
                <w:rFonts w:ascii="Arial" w:hAnsi="Arial"/>
                <w:color w:val="333333"/>
                <w:sz w:val="19"/>
              </w:rPr>
              <w:t>2026-06-28</w:t>
            </w:r>
          </w:p>
        </w:tc>
      </w:tr>
      <w:tr>
        <w:tc>
          <w:tcPr>
            <w:tcW w:type="dxa" w:w="4680"/>
            <w:shd w:fill="FFFFFF"/>
            <w:tcMar>
              <w:top w:w="100" w:type="dxa"/>
              <w:bottom w:w="100" w:type="dxa"/>
              <w:left w:w="150" w:type="dxa"/>
              <w:right w:w="150" w:type="dxa"/>
            </w:tcMar>
          </w:tcPr>
          <w:p>
            <w:pPr>
              <w:spacing w:after="40"/>
            </w:pPr>
            <w:r>
              <w:rPr>
                <w:rFonts w:ascii="Arial" w:hAnsi="Arial"/>
                <w:color w:val="333333"/>
                <w:sz w:val="19"/>
              </w:rPr>
              <w:t>**Dependencies**</w:t>
            </w:r>
          </w:p>
        </w:tc>
        <w:tc>
          <w:tcPr>
            <w:tcW w:type="dxa" w:w="4680"/>
            <w:shd w:fill="FFFFFF"/>
            <w:tcMar>
              <w:top w:w="100" w:type="dxa"/>
              <w:bottom w:w="100" w:type="dxa"/>
              <w:left w:w="150" w:type="dxa"/>
              <w:right w:w="150" w:type="dxa"/>
            </w:tcMar>
          </w:tcPr>
          <w:p>
            <w:pPr>
              <w:spacing w:after="40"/>
            </w:pPr>
            <w:r>
              <w:rPr>
                <w:rFonts w:ascii="Arial" w:hAnsi="Arial"/>
                <w:color w:val="333333"/>
                <w:sz w:val="19"/>
              </w:rPr>
              <w:t>NOVA-SPEC-001, NOVA-SPEC-002</w:t>
            </w:r>
          </w:p>
        </w:tc>
      </w:tr>
    </w:tbl>
    <w:p>
      <w:pPr>
        <w:spacing w:before="240" w:after="0"/>
      </w:pPr>
    </w:p>
    <w:p>
      <w:pPr>
        <w:spacing w:after="120" w:line="276" w:lineRule="auto"/>
      </w:pPr>
      <w:r>
        <w:rPr>
          <w:rFonts w:ascii="Arial" w:hAnsi="Arial"/>
          <w:color w:val="333333"/>
          <w:sz w:val="21"/>
        </w:rPr>
        <w:t>---</w:t>
      </w:r>
    </w:p>
    <w:p>
      <w:pPr>
        <w:keepNext/>
        <w:spacing w:before="360" w:after="160"/>
      </w:pPr>
      <w:r>
        <w:rPr>
          <w:b/>
          <w:color w:val="1B365D"/>
          <w:sz w:val="32"/>
        </w:rPr>
        <w:t>Revision History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fill="1B365D"/>
            <w:tcMar>
              <w:top w:w="120" w:type="dxa"/>
              <w:bottom w:w="120" w:type="dxa"/>
              <w:left w:w="150" w:type="dxa"/>
              <w:right w:w="150" w:type="dxa"/>
            </w:tcMar>
          </w:tcPr>
          <w:p>
            <w:r>
              <w:rPr>
                <w:rFonts w:ascii="Arial" w:hAnsi="Arial"/>
                <w:b/>
                <w:color w:val="FFFFFF"/>
                <w:sz w:val="20"/>
              </w:rPr>
              <w:t>Version</w:t>
            </w:r>
          </w:p>
        </w:tc>
        <w:tc>
          <w:tcPr>
            <w:tcW w:type="dxa" w:w="2340"/>
            <w:shd w:fill="1B365D"/>
            <w:tcMar>
              <w:top w:w="120" w:type="dxa"/>
              <w:bottom w:w="120" w:type="dxa"/>
              <w:left w:w="150" w:type="dxa"/>
              <w:right w:w="150" w:type="dxa"/>
            </w:tcMar>
          </w:tcPr>
          <w:p>
            <w:r>
              <w:rPr>
                <w:rFonts w:ascii="Arial" w:hAnsi="Arial"/>
                <w:b/>
                <w:color w:val="FFFFFF"/>
                <w:sz w:val="20"/>
              </w:rPr>
              <w:t>Date</w:t>
            </w:r>
          </w:p>
        </w:tc>
        <w:tc>
          <w:tcPr>
            <w:tcW w:type="dxa" w:w="2340"/>
            <w:shd w:fill="1B365D"/>
            <w:tcMar>
              <w:top w:w="120" w:type="dxa"/>
              <w:bottom w:w="120" w:type="dxa"/>
              <w:left w:w="150" w:type="dxa"/>
              <w:right w:w="150" w:type="dxa"/>
            </w:tcMar>
          </w:tcPr>
          <w:p>
            <w:r>
              <w:rPr>
                <w:rFonts w:ascii="Arial" w:hAnsi="Arial"/>
                <w:b/>
                <w:color w:val="FFFFFF"/>
                <w:sz w:val="20"/>
              </w:rPr>
              <w:t>Author</w:t>
            </w:r>
          </w:p>
        </w:tc>
        <w:tc>
          <w:tcPr>
            <w:tcW w:type="dxa" w:w="2340"/>
            <w:shd w:fill="1B365D"/>
            <w:tcMar>
              <w:top w:w="120" w:type="dxa"/>
              <w:bottom w:w="120" w:type="dxa"/>
              <w:left w:w="150" w:type="dxa"/>
              <w:right w:w="150" w:type="dxa"/>
            </w:tcMar>
          </w:tcPr>
          <w:p>
            <w:r>
              <w:rPr>
                <w:rFonts w:ascii="Arial" w:hAnsi="Arial"/>
                <w:b/>
                <w:color w:val="FFFFFF"/>
                <w:sz w:val="20"/>
              </w:rPr>
              <w:t>Summary of Changes</w:t>
            </w:r>
          </w:p>
        </w:tc>
      </w:tr>
      <w:tr>
        <w:tc>
          <w:tcPr>
            <w:tcW w:type="dxa" w:w="2340"/>
            <w:shd w:fill="FFFFFF"/>
            <w:tcMar>
              <w:top w:w="100" w:type="dxa"/>
              <w:bottom w:w="100" w:type="dxa"/>
              <w:left w:w="150" w:type="dxa"/>
              <w:right w:w="150" w:type="dxa"/>
            </w:tcMar>
          </w:tcPr>
          <w:p>
            <w:pPr>
              <w:spacing w:after="40"/>
            </w:pPr>
            <w:r>
              <w:rPr>
                <w:rFonts w:ascii="Arial" w:hAnsi="Arial"/>
                <w:color w:val="333333"/>
                <w:sz w:val="19"/>
              </w:rPr>
              <w:t>1.0</w:t>
            </w:r>
          </w:p>
        </w:tc>
        <w:tc>
          <w:tcPr>
            <w:tcW w:type="dxa" w:w="2340"/>
            <w:shd w:fill="FFFFFF"/>
            <w:tcMar>
              <w:top w:w="100" w:type="dxa"/>
              <w:bottom w:w="100" w:type="dxa"/>
              <w:left w:w="150" w:type="dxa"/>
              <w:right w:w="150" w:type="dxa"/>
            </w:tcMar>
          </w:tcPr>
          <w:p>
            <w:pPr>
              <w:spacing w:after="40"/>
            </w:pPr>
            <w:r>
              <w:rPr>
                <w:rFonts w:ascii="Arial" w:hAnsi="Arial"/>
                <w:color w:val="333333"/>
                <w:sz w:val="19"/>
              </w:rPr>
              <w:t>2026-06-28</w:t>
            </w:r>
          </w:p>
        </w:tc>
        <w:tc>
          <w:tcPr>
            <w:tcW w:type="dxa" w:w="2340"/>
            <w:shd w:fill="FFFFFF"/>
            <w:tcMar>
              <w:top w:w="100" w:type="dxa"/>
              <w:bottom w:w="100" w:type="dxa"/>
              <w:left w:w="150" w:type="dxa"/>
              <w:right w:w="150" w:type="dxa"/>
            </w:tcMar>
          </w:tcPr>
          <w:p>
            <w:pPr>
              <w:spacing w:after="40"/>
            </w:pPr>
            <w:r>
              <w:rPr>
                <w:rFonts w:ascii="Arial" w:hAnsi="Arial"/>
                <w:color w:val="333333"/>
                <w:sz w:val="19"/>
              </w:rPr>
              <w:t>Antigravity</w:t>
            </w:r>
          </w:p>
        </w:tc>
        <w:tc>
          <w:tcPr>
            <w:tcW w:type="dxa" w:w="2340"/>
            <w:shd w:fill="FFFFFF"/>
            <w:tcMar>
              <w:top w:w="100" w:type="dxa"/>
              <w:bottom w:w="100" w:type="dxa"/>
              <w:left w:w="150" w:type="dxa"/>
              <w:right w:w="150" w:type="dxa"/>
            </w:tcMar>
          </w:tcPr>
          <w:p>
            <w:pPr>
              <w:spacing w:after="40"/>
            </w:pPr>
            <w:r>
              <w:rPr>
                <w:rFonts w:ascii="Arial" w:hAnsi="Arial"/>
                <w:color w:val="333333"/>
                <w:sz w:val="19"/>
              </w:rPr>
              <w:t>Consolidate Component Architecture, Data Flow, Event Flow, High-Level Design, Low-Level Design, and Interface Specification drafts.</w:t>
            </w:r>
          </w:p>
        </w:tc>
      </w:tr>
    </w:tbl>
    <w:p>
      <w:pPr>
        <w:spacing w:before="240" w:after="0"/>
      </w:pPr>
    </w:p>
    <w:p>
      <w:pPr>
        <w:spacing w:after="120" w:line="276" w:lineRule="auto"/>
      </w:pPr>
      <w:r>
        <w:rPr>
          <w:rFonts w:ascii="Arial" w:hAnsi="Arial"/>
          <w:color w:val="333333"/>
          <w:sz w:val="21"/>
        </w:rPr>
        <w:t>---</w:t>
      </w:r>
    </w:p>
    <w:p>
      <w:pPr>
        <w:keepNext/>
        <w:spacing w:before="360" w:after="160"/>
      </w:pPr>
      <w:r>
        <w:rPr>
          <w:b/>
          <w:color w:val="1B365D"/>
          <w:sz w:val="32"/>
        </w:rPr>
        <w:t>Table of Contents</w:t>
      </w:r>
    </w:p>
    <w:p>
      <w:pPr>
        <w:pStyle w:val="ListNumber"/>
        <w:spacing w:after="60"/>
      </w:pPr>
      <w:r>
        <w:rPr>
          <w:rFonts w:ascii="Arial" w:hAnsi="Arial"/>
          <w:color w:val="333333"/>
          <w:sz w:val="21"/>
        </w:rPr>
        <w:t>[Purpose &amp; Scope](#purpose--scope)</w:t>
      </w:r>
    </w:p>
    <w:p>
      <w:pPr>
        <w:pStyle w:val="ListNumber"/>
        <w:spacing w:after="60"/>
      </w:pPr>
      <w:r>
        <w:rPr>
          <w:rFonts w:ascii="Arial" w:hAnsi="Arial"/>
          <w:color w:val="333333"/>
          <w:sz w:val="21"/>
        </w:rPr>
        <w:t>[Component Layering Model](#component-layering-model)</w:t>
      </w:r>
    </w:p>
    <w:p>
      <w:pPr>
        <w:pStyle w:val="ListNumber"/>
        <w:spacing w:after="60"/>
      </w:pPr>
      <w:r>
        <w:rPr>
          <w:rFonts w:ascii="Arial" w:hAnsi="Arial"/>
          <w:color w:val="333333"/>
          <w:sz w:val="21"/>
        </w:rPr>
        <w:t>[High-Level System Design](#high-level-system-design)</w:t>
      </w:r>
    </w:p>
    <w:p>
      <w:pPr>
        <w:pStyle w:val="ListNumber"/>
        <w:spacing w:after="60"/>
      </w:pPr>
      <w:r>
        <w:rPr>
          <w:rFonts w:ascii="Arial" w:hAnsi="Arial"/>
          <w:color w:val="333333"/>
          <w:sz w:val="21"/>
        </w:rPr>
        <w:t>[Data &amp; Execution Flows](#data--execution-flows)</w:t>
      </w:r>
    </w:p>
    <w:p>
      <w:pPr>
        <w:pStyle w:val="ListNumber"/>
        <w:spacing w:after="60"/>
      </w:pPr>
      <w:r>
        <w:rPr>
          <w:rFonts w:ascii="Arial" w:hAnsi="Arial"/>
          <w:color w:val="333333"/>
          <w:sz w:val="21"/>
        </w:rPr>
        <w:t>[Event-Driven Flow Model](#event-driven-flow-model)</w:t>
      </w:r>
    </w:p>
    <w:p>
      <w:pPr>
        <w:pStyle w:val="ListNumber"/>
        <w:spacing w:after="60"/>
      </w:pPr>
      <w:r>
        <w:rPr>
          <w:rFonts w:ascii="Arial" w:hAnsi="Arial"/>
          <w:color w:val="333333"/>
          <w:sz w:val="21"/>
        </w:rPr>
        <w:t>[Global Subsystem Interface contracts](#global-subsystem-interface-contracts)</w:t>
      </w:r>
    </w:p>
    <w:p>
      <w:pPr>
        <w:pStyle w:val="ListNumber"/>
        <w:spacing w:after="60"/>
      </w:pPr>
      <w:r>
        <w:rPr>
          <w:rFonts w:ascii="Arial" w:hAnsi="Arial"/>
          <w:color w:val="333333"/>
          <w:sz w:val="21"/>
        </w:rPr>
        <w:t>[Low-Level Engine Index](#low-level-engine-index)</w:t>
      </w:r>
    </w:p>
    <w:p>
      <w:pPr>
        <w:spacing w:after="120" w:line="276" w:lineRule="auto"/>
      </w:pPr>
      <w:r>
        <w:rPr>
          <w:rFonts w:ascii="Arial" w:hAnsi="Arial"/>
          <w:color w:val="333333"/>
          <w:sz w:val="21"/>
        </w:rPr>
        <w:t>---</w:t>
      </w:r>
    </w:p>
    <w:p>
      <w:pPr>
        <w:keepNext/>
        <w:spacing w:before="360" w:after="160"/>
      </w:pPr>
      <w:r>
        <w:rPr>
          <w:b/>
          <w:color w:val="1B365D"/>
          <w:sz w:val="32"/>
        </w:rPr>
        <w:t>Purpose &amp; Scope</w:t>
      </w:r>
    </w:p>
    <w:p>
      <w:pPr>
        <w:spacing w:after="120" w:line="276" w:lineRule="auto"/>
      </w:pPr>
      <w:r>
        <w:rPr>
          <w:rFonts w:ascii="Arial" w:hAnsi="Arial"/>
          <w:color w:val="333333"/>
          <w:sz w:val="21"/>
        </w:rPr>
        <w:t>This specification defines the system architecture, component relationships, data processing sequences, and interface boundaries for Project NOVA. It binds all subsystem designs to strict interface boundaries and decoupled communications, ensuring the platform remains modular and extensible.</w:t>
      </w:r>
    </w:p>
    <w:p>
      <w:pPr>
        <w:spacing w:after="120" w:line="276" w:lineRule="auto"/>
      </w:pPr>
      <w:r>
        <w:rPr>
          <w:rFonts w:ascii="Arial" w:hAnsi="Arial"/>
          <w:color w:val="333333"/>
          <w:sz w:val="21"/>
        </w:rPr>
        <w:t>---</w:t>
      </w:r>
    </w:p>
    <w:p>
      <w:pPr>
        <w:keepNext/>
        <w:spacing w:before="360" w:after="160"/>
      </w:pPr>
      <w:r>
        <w:rPr>
          <w:b/>
          <w:color w:val="1B365D"/>
          <w:sz w:val="32"/>
        </w:rPr>
        <w:t>Component Layering Model</w:t>
      </w:r>
    </w:p>
    <w:p>
      <w:pPr>
        <w:spacing w:after="120" w:line="276" w:lineRule="auto"/>
      </w:pPr>
      <w:r>
        <w:rPr>
          <w:rFonts w:ascii="Arial" w:hAnsi="Arial"/>
          <w:color w:val="333333"/>
          <w:sz w:val="21"/>
        </w:rPr>
        <w:t xml:space="preserve">NOVA is structured as a complete </w:t>
      </w:r>
      <w:r>
        <w:rPr>
          <w:rFonts w:ascii="Arial" w:hAnsi="Arial"/>
          <w:b/>
          <w:color w:val="333333"/>
          <w:sz w:val="21"/>
        </w:rPr>
        <w:t>Operating Platform</w:t>
      </w:r>
      <w:r>
        <w:rPr>
          <w:rFonts w:ascii="Arial" w:hAnsi="Arial"/>
          <w:color w:val="333333"/>
          <w:sz w:val="21"/>
        </w:rPr>
        <w:t xml:space="preserve"> rather than a feature collection. The macro-architecture is organized into four strict foundational layers:</w:t>
      </w:r>
    </w:p>
    <w:p>
      <w:pPr>
        <w:spacing w:before="120" w:after="120"/>
        <w:ind w:left="720"/>
        <w:shd w:fill="F5F5F5"/>
      </w:pPr>
      <w:r>
        <w:rPr>
          <w:rFonts w:ascii="Consolas" w:hAnsi="Consolas"/>
          <w:color w:val="4B6B94"/>
          <w:sz w:val="19"/>
        </w:rPr>
        <w:t>graph TD</w:t>
        <w:br/>
        <w:t xml:space="preserve">    User([User]) --&gt; Kernel[Kernel Layer]</w:t>
        <w:br/>
        <w:t xml:space="preserve">    </w:t>
        <w:br/>
        <w:t xml:space="preserve">    subgraph Layer 1: Kernel Layer</w:t>
        <w:br/>
        <w:t xml:space="preserve">        Kernel</w:t>
        <w:br/>
        <w:t xml:space="preserve">    end</w:t>
        <w:br/>
        <w:br/>
        <w:t xml:space="preserve">    subgraph Layer 2: Platform &amp; AI Services</w:t>
        <w:br/>
        <w:t xml:space="preserve">        direction LR</w:t>
        <w:br/>
        <w:t xml:space="preserve">        PS[Platform Services&lt;br/&gt;Config, Logging, Events, Permissions, Plugins, Scheduling]</w:t>
        <w:br/>
        <w:t xml:space="preserve">        AS[AI Services&lt;br/&gt;Planner, Memory, Vision, Voice, Context, Reasoning]</w:t>
        <w:br/>
        <w:t xml:space="preserve">    end</w:t>
        <w:br/>
        <w:t xml:space="preserve">    Kernel --&gt; PS</w:t>
        <w:br/>
        <w:t xml:space="preserve">    Kernel --&gt; AS</w:t>
        <w:br/>
        <w:br/>
        <w:t xml:space="preserve">    subgraph Layer 3: Capability Layer</w:t>
        <w:br/>
        <w:t xml:space="preserve">        Caps[Desktop, Browser, Terminal, Files, Office, Coding]</w:t>
        <w:br/>
        <w:t xml:space="preserve">    end</w:t>
        <w:br/>
        <w:t xml:space="preserve">    PS --&gt; Caps</w:t>
        <w:br/>
        <w:t xml:space="preserve">    AS --&gt; Caps</w:t>
        <w:br/>
        <w:br/>
        <w:t xml:space="preserve">    subgraph Layer 4: Provider Layer</w:t>
        <w:br/>
        <w:t xml:space="preserve">        Provs[Playwright, OCR, LLMs, Windows APIs, Git]</w:t>
        <w:br/>
        <w:t xml:space="preserve">    end</w:t>
        <w:br/>
        <w:t xml:space="preserve">    Caps --&gt; Provs</w:t>
      </w:r>
    </w:p>
    <w:p>
      <w:pPr>
        <w:keepNext/>
        <w:spacing w:before="280" w:after="120"/>
      </w:pPr>
      <w:r>
        <w:rPr>
          <w:b/>
          <w:color w:val="4B6B94"/>
          <w:sz w:val="26"/>
        </w:rPr>
        <w:t>Layer Definitions</w:t>
      </w:r>
    </w:p>
    <w:p>
      <w:pPr>
        <w:pStyle w:val="ListNumber"/>
        <w:spacing w:after="60"/>
      </w:pPr>
      <w:r>
        <w:rPr>
          <w:rFonts w:ascii="Arial" w:hAnsi="Arial"/>
          <w:b/>
          <w:color w:val="333333"/>
          <w:sz w:val="21"/>
        </w:rPr>
        <w:t>Kernel Layer:</w:t>
      </w:r>
      <w:r>
        <w:rPr>
          <w:rFonts w:ascii="Arial" w:hAnsi="Arial"/>
          <w:color w:val="333333"/>
          <w:sz w:val="21"/>
        </w:rPr>
        <w:t xml:space="preserve"> The central orchestrator handling startup, shutdown, loop ticks, and subsystem synchronization.</w:t>
      </w:r>
    </w:p>
    <w:p>
      <w:pPr>
        <w:pStyle w:val="ListNumber"/>
        <w:spacing w:after="60"/>
      </w:pPr>
      <w:r>
        <w:rPr>
          <w:rFonts w:ascii="Arial" w:hAnsi="Arial"/>
          <w:b/>
          <w:color w:val="333333"/>
          <w:sz w:val="21"/>
        </w:rPr>
        <w:t>Services Layer (Platform &amp; AI):</w:t>
      </w:r>
    </w:p>
    <w:p>
      <w:pPr>
        <w:pStyle w:val="ListBullet"/>
        <w:spacing w:after="60"/>
      </w:pPr>
      <w:r>
        <w:rPr>
          <w:rFonts w:ascii="Arial" w:hAnsi="Arial"/>
          <w:color w:val="333333"/>
          <w:sz w:val="21"/>
        </w:rPr>
        <w:t xml:space="preserve">  </w:t>
      </w:r>
      <w:r>
        <w:rPr>
          <w:rFonts w:ascii="Arial" w:hAnsi="Arial"/>
          <w:i/>
          <w:color w:val="333333"/>
          <w:sz w:val="21"/>
        </w:rPr>
        <w:t>Platform Services:</w:t>
      </w:r>
      <w:r>
        <w:rPr>
          <w:rFonts w:ascii="Arial" w:hAnsi="Arial"/>
          <w:color w:val="333333"/>
          <w:sz w:val="21"/>
        </w:rPr>
        <w:t xml:space="preserve"> System-level utilities for Configuration, Logging, Event Bus (Pub/Sub), Permissions, Plugins, and Scheduling.</w:t>
      </w:r>
    </w:p>
    <w:p>
      <w:pPr>
        <w:pStyle w:val="ListBullet"/>
        <w:spacing w:after="60"/>
      </w:pPr>
      <w:r>
        <w:rPr>
          <w:rFonts w:ascii="Arial" w:hAnsi="Arial"/>
          <w:color w:val="333333"/>
          <w:sz w:val="21"/>
        </w:rPr>
        <w:t xml:space="preserve">  </w:t>
      </w:r>
      <w:r>
        <w:rPr>
          <w:rFonts w:ascii="Arial" w:hAnsi="Arial"/>
          <w:i/>
          <w:color w:val="333333"/>
          <w:sz w:val="21"/>
        </w:rPr>
        <w:t>AI Services:</w:t>
      </w:r>
      <w:r>
        <w:rPr>
          <w:rFonts w:ascii="Arial" w:hAnsi="Arial"/>
          <w:color w:val="333333"/>
          <w:sz w:val="21"/>
        </w:rPr>
        <w:t xml:space="preserve"> Cognitive reasoning tools including Planners, Memory indexing, Context management, Vision, and Voice processing.</w:t>
      </w:r>
    </w:p>
    <w:p>
      <w:pPr>
        <w:pStyle w:val="ListNumber"/>
        <w:spacing w:after="60"/>
      </w:pPr>
      <w:r>
        <w:rPr>
          <w:rFonts w:ascii="Arial" w:hAnsi="Arial"/>
          <w:b/>
          <w:color w:val="333333"/>
          <w:sz w:val="21"/>
        </w:rPr>
        <w:t>Capability Layer:</w:t>
      </w:r>
      <w:r>
        <w:rPr>
          <w:rFonts w:ascii="Arial" w:hAnsi="Arial"/>
          <w:color w:val="333333"/>
          <w:sz w:val="21"/>
        </w:rPr>
        <w:t xml:space="preserve"> High-level APIs mapping real-world environments to programmatic controls (e.g. Desktop GUI abstraction, Terminal emulation).</w:t>
      </w:r>
    </w:p>
    <w:p>
      <w:pPr>
        <w:pStyle w:val="ListNumber"/>
        <w:spacing w:after="60"/>
      </w:pPr>
      <w:r>
        <w:rPr>
          <w:rFonts w:ascii="Arial" w:hAnsi="Arial"/>
          <w:b/>
          <w:color w:val="333333"/>
          <w:sz w:val="21"/>
        </w:rPr>
        <w:t>Provider Layer:</w:t>
      </w:r>
      <w:r>
        <w:rPr>
          <w:rFonts w:ascii="Arial" w:hAnsi="Arial"/>
          <w:color w:val="333333"/>
          <w:sz w:val="21"/>
        </w:rPr>
        <w:t xml:space="preserve"> Third-party integrations (Whisper APIs, OpenAI, local Tesseract models, Playwright) hidden behind generic interface adapters.</w:t>
      </w:r>
    </w:p>
    <w:p>
      <w:pPr>
        <w:spacing w:after="120" w:line="276" w:lineRule="auto"/>
      </w:pPr>
      <w:r>
        <w:rPr>
          <w:rFonts w:ascii="Arial" w:hAnsi="Arial"/>
          <w:i/>
          <w:color w:val="333333"/>
          <w:sz w:val="21"/>
        </w:rPr>
        <w:t>Rule:</w:t>
      </w:r>
      <w:r>
        <w:rPr>
          <w:rFonts w:ascii="Arial" w:hAnsi="Arial"/>
          <w:color w:val="333333"/>
          <w:sz w:val="21"/>
        </w:rPr>
        <w:t xml:space="preserve"> Every layer must depend exclusively on abstract interface definitions. Direct instantiation of concrete third-party providers from the Capabilities layer is prohibited.</w:t>
      </w:r>
    </w:p>
    <w:p>
      <w:pPr>
        <w:spacing w:after="120" w:line="276" w:lineRule="auto"/>
      </w:pPr>
      <w:r>
        <w:rPr>
          <w:rFonts w:ascii="Arial" w:hAnsi="Arial"/>
          <w:color w:val="333333"/>
          <w:sz w:val="21"/>
        </w:rPr>
        <w:t>---</w:t>
      </w:r>
    </w:p>
    <w:p>
      <w:pPr>
        <w:keepNext/>
        <w:spacing w:before="360" w:after="160"/>
      </w:pPr>
      <w:r>
        <w:rPr>
          <w:b/>
          <w:color w:val="1B365D"/>
          <w:sz w:val="32"/>
        </w:rPr>
        <w:t>High-Level System Design</w:t>
      </w:r>
    </w:p>
    <w:p>
      <w:pPr>
        <w:spacing w:after="120" w:line="276" w:lineRule="auto"/>
      </w:pPr>
      <w:r>
        <w:rPr>
          <w:rFonts w:ascii="Arial" w:hAnsi="Arial"/>
          <w:color w:val="333333"/>
          <w:sz w:val="21"/>
        </w:rPr>
        <w:t>The system coordinates intent processing through the following layout path:</w:t>
      </w:r>
    </w:p>
    <w:p>
      <w:pPr>
        <w:spacing w:before="120" w:after="120"/>
        <w:ind w:left="720"/>
        <w:shd w:fill="F5F5F5"/>
      </w:pPr>
      <w:r>
        <w:rPr>
          <w:rFonts w:ascii="Consolas" w:hAnsi="Consolas"/>
          <w:color w:val="4B6B94"/>
          <w:sz w:val="19"/>
        </w:rPr>
        <w:t>User Intent (Input Layer)</w:t>
        <w:br/>
        <w:t xml:space="preserve">       ↓</w:t>
        <w:br/>
        <w:t xml:space="preserve">  AI Orchestrator (core)</w:t>
        <w:br/>
        <w:t xml:space="preserve">       ↓</w:t>
        <w:br/>
        <w:t xml:space="preserve">  Planner Engine (engines) &lt;---&gt; Context Engine (engines)</w:t>
        <w:br/>
        <w:t xml:space="preserve">       ↓</w:t>
        <w:br/>
        <w:t xml:space="preserve">  Permission Engine (core)</w:t>
        <w:br/>
        <w:t xml:space="preserve">       ↓</w:t>
        <w:br/>
        <w:t xml:space="preserve">  Tool Manager (core)</w:t>
        <w:br/>
        <w:t xml:space="preserve">    ├── Windows Adapter (tools)</w:t>
        <w:br/>
        <w:t xml:space="preserve">    ├── Browser Adapter (tools)</w:t>
        <w:br/>
        <w:t xml:space="preserve">    └── Terminal Adapter (tools)</w:t>
        <w:br/>
        <w:t xml:space="preserve">       ↓</w:t>
        <w:br/>
        <w:t xml:space="preserve">  Execution Engine (engines) ---&gt; Observation Engine (engines) ---&gt; Memory Engine (engines)</w:t>
        <w:br/>
        <w:t xml:space="preserve">       ↓</w:t>
        <w:br/>
        <w:t>Response Layer</w:t>
      </w:r>
    </w:p>
    <w:p>
      <w:pPr>
        <w:spacing w:after="120" w:line="276" w:lineRule="auto"/>
      </w:pPr>
      <w:r>
        <w:rPr>
          <w:rFonts w:ascii="Arial" w:hAnsi="Arial"/>
          <w:color w:val="333333"/>
          <w:sz w:val="21"/>
        </w:rPr>
        <w:t>---</w:t>
      </w:r>
    </w:p>
    <w:p>
      <w:pPr>
        <w:keepNext/>
        <w:spacing w:before="360" w:after="160"/>
      </w:pPr>
      <w:r>
        <w:rPr>
          <w:b/>
          <w:color w:val="1B365D"/>
          <w:sz w:val="32"/>
        </w:rPr>
        <w:t>Data &amp; Execution Flows</w:t>
      </w:r>
    </w:p>
    <w:p>
      <w:pPr>
        <w:spacing w:after="120" w:line="276" w:lineRule="auto"/>
      </w:pPr>
      <w:r>
        <w:rPr>
          <w:rFonts w:ascii="Arial" w:hAnsi="Arial"/>
          <w:color w:val="333333"/>
          <w:sz w:val="21"/>
        </w:rPr>
        <w:t>Every intent transaction follows this synchronous lifecycle:</w:t>
      </w:r>
    </w:p>
    <w:p>
      <w:pPr>
        <w:pStyle w:val="ListNumber"/>
        <w:spacing w:after="60"/>
      </w:pPr>
      <w:r>
        <w:rPr>
          <w:rFonts w:ascii="Arial" w:hAnsi="Arial"/>
          <w:b/>
          <w:color w:val="333333"/>
          <w:sz w:val="21"/>
        </w:rPr>
        <w:t>Input:</w:t>
      </w:r>
      <w:r>
        <w:rPr>
          <w:rFonts w:ascii="Arial" w:hAnsi="Arial"/>
          <w:color w:val="333333"/>
          <w:sz w:val="21"/>
        </w:rPr>
        <w:t xml:space="preserve"> Spoken audio or text query is received.</w:t>
      </w:r>
    </w:p>
    <w:p>
      <w:pPr>
        <w:pStyle w:val="ListNumber"/>
        <w:spacing w:after="60"/>
      </w:pPr>
      <w:r>
        <w:rPr>
          <w:rFonts w:ascii="Arial" w:hAnsi="Arial"/>
          <w:b/>
          <w:color w:val="333333"/>
          <w:sz w:val="21"/>
        </w:rPr>
        <w:t>Context Builder:</w:t>
      </w:r>
      <w:r>
        <w:rPr>
          <w:rFonts w:ascii="Arial" w:hAnsi="Arial"/>
          <w:color w:val="333333"/>
          <w:sz w:val="21"/>
        </w:rPr>
        <w:t xml:space="preserve"> Gathers active window metadata, clipboard, process lists, and history.</w:t>
      </w:r>
    </w:p>
    <w:p>
      <w:pPr>
        <w:pStyle w:val="ListNumber"/>
        <w:spacing w:after="60"/>
      </w:pPr>
      <w:r>
        <w:rPr>
          <w:rFonts w:ascii="Arial" w:hAnsi="Arial"/>
          <w:b/>
          <w:color w:val="333333"/>
          <w:sz w:val="21"/>
        </w:rPr>
        <w:t>Planner:</w:t>
      </w:r>
      <w:r>
        <w:rPr>
          <w:rFonts w:ascii="Arial" w:hAnsi="Arial"/>
          <w:color w:val="333333"/>
          <w:sz w:val="21"/>
        </w:rPr>
        <w:t xml:space="preserve"> Evaluates the intent and context to output a structured execution plan.</w:t>
      </w:r>
    </w:p>
    <w:p>
      <w:pPr>
        <w:pStyle w:val="ListNumber"/>
        <w:spacing w:after="60"/>
      </w:pPr>
      <w:r>
        <w:rPr>
          <w:rFonts w:ascii="Arial" w:hAnsi="Arial"/>
          <w:b/>
          <w:color w:val="333333"/>
          <w:sz w:val="21"/>
        </w:rPr>
        <w:t>Memory Lookup:</w:t>
      </w:r>
      <w:r>
        <w:rPr>
          <w:rFonts w:ascii="Arial" w:hAnsi="Arial"/>
          <w:color w:val="333333"/>
          <w:sz w:val="21"/>
        </w:rPr>
        <w:t xml:space="preserve"> Resolves target variables, parameters, or configurations.</w:t>
      </w:r>
    </w:p>
    <w:p>
      <w:pPr>
        <w:pStyle w:val="ListNumber"/>
        <w:spacing w:after="60"/>
      </w:pPr>
      <w:r>
        <w:rPr>
          <w:rFonts w:ascii="Arial" w:hAnsi="Arial"/>
          <w:b/>
          <w:color w:val="333333"/>
          <w:sz w:val="21"/>
        </w:rPr>
        <w:t>Permission Check:</w:t>
      </w:r>
      <w:r>
        <w:rPr>
          <w:rFonts w:ascii="Arial" w:hAnsi="Arial"/>
          <w:color w:val="333333"/>
          <w:sz w:val="21"/>
        </w:rPr>
        <w:t xml:space="preserve"> Enforces safety policy validations against the generated plan tasks.</w:t>
      </w:r>
    </w:p>
    <w:p>
      <w:pPr>
        <w:pStyle w:val="ListNumber"/>
        <w:spacing w:after="60"/>
      </w:pPr>
      <w:r>
        <w:rPr>
          <w:rFonts w:ascii="Arial" w:hAnsi="Arial"/>
          <w:b/>
          <w:color w:val="333333"/>
          <w:sz w:val="21"/>
        </w:rPr>
        <w:t>Tool Selection:</w:t>
      </w:r>
      <w:r>
        <w:rPr>
          <w:rFonts w:ascii="Arial" w:hAnsi="Arial"/>
          <w:color w:val="333333"/>
          <w:sz w:val="21"/>
        </w:rPr>
        <w:t xml:space="preserve"> Resolves execution adapters required for tasks.</w:t>
      </w:r>
    </w:p>
    <w:p>
      <w:pPr>
        <w:pStyle w:val="ListNumber"/>
        <w:spacing w:after="60"/>
      </w:pPr>
      <w:r>
        <w:rPr>
          <w:rFonts w:ascii="Arial" w:hAnsi="Arial"/>
          <w:b/>
          <w:color w:val="333333"/>
          <w:sz w:val="21"/>
        </w:rPr>
        <w:t>Execution:</w:t>
      </w:r>
      <w:r>
        <w:rPr>
          <w:rFonts w:ascii="Arial" w:hAnsi="Arial"/>
          <w:color w:val="333333"/>
          <w:sz w:val="21"/>
        </w:rPr>
        <w:t xml:space="preserve"> Invokes OS adapters to perform action primitives (clicking, typing).</w:t>
      </w:r>
    </w:p>
    <w:p>
      <w:pPr>
        <w:pStyle w:val="ListNumber"/>
        <w:spacing w:after="60"/>
      </w:pPr>
      <w:r>
        <w:rPr>
          <w:rFonts w:ascii="Arial" w:hAnsi="Arial"/>
          <w:b/>
          <w:color w:val="333333"/>
          <w:sz w:val="21"/>
        </w:rPr>
        <w:t>Observation:</w:t>
      </w:r>
      <w:r>
        <w:rPr>
          <w:rFonts w:ascii="Arial" w:hAnsi="Arial"/>
          <w:color w:val="333333"/>
          <w:sz w:val="21"/>
        </w:rPr>
        <w:t xml:space="preserve"> Scans display coordinates or page state to verify outcomes.</w:t>
      </w:r>
    </w:p>
    <w:p>
      <w:pPr>
        <w:pStyle w:val="ListNumber"/>
        <w:spacing w:after="60"/>
      </w:pPr>
      <w:r>
        <w:rPr>
          <w:rFonts w:ascii="Arial" w:hAnsi="Arial"/>
          <w:b/>
          <w:color w:val="333333"/>
          <w:sz w:val="21"/>
        </w:rPr>
        <w:t>Memory Update:</w:t>
      </w:r>
      <w:r>
        <w:rPr>
          <w:rFonts w:ascii="Arial" w:hAnsi="Arial"/>
          <w:color w:val="333333"/>
          <w:sz w:val="21"/>
        </w:rPr>
        <w:t xml:space="preserve"> Saves task states and context histories.</w:t>
      </w:r>
    </w:p>
    <w:p>
      <w:pPr>
        <w:pStyle w:val="ListNumber"/>
        <w:spacing w:after="60"/>
      </w:pPr>
      <w:r>
        <w:rPr>
          <w:rFonts w:ascii="Arial" w:hAnsi="Arial"/>
          <w:b/>
          <w:color w:val="333333"/>
          <w:sz w:val="21"/>
        </w:rPr>
        <w:t>Output:</w:t>
      </w:r>
      <w:r>
        <w:rPr>
          <w:rFonts w:ascii="Arial" w:hAnsi="Arial"/>
          <w:color w:val="333333"/>
          <w:sz w:val="21"/>
        </w:rPr>
        <w:t xml:space="preserve"> Synthesizes final text or speech responses.</w:t>
      </w:r>
    </w:p>
    <w:p>
      <w:pPr>
        <w:spacing w:after="120" w:line="276" w:lineRule="auto"/>
      </w:pPr>
      <w:r>
        <w:rPr>
          <w:rFonts w:ascii="Arial" w:hAnsi="Arial"/>
          <w:color w:val="333333"/>
          <w:sz w:val="21"/>
        </w:rPr>
        <w:t>---</w:t>
      </w:r>
    </w:p>
    <w:p>
      <w:pPr>
        <w:keepNext/>
        <w:spacing w:before="360" w:after="160"/>
      </w:pPr>
      <w:r>
        <w:rPr>
          <w:b/>
          <w:color w:val="1B365D"/>
          <w:sz w:val="32"/>
        </w:rPr>
        <w:t>Event-Driven Flow Model</w:t>
      </w:r>
    </w:p>
    <w:p>
      <w:pPr>
        <w:spacing w:after="120" w:line="276" w:lineRule="auto"/>
      </w:pPr>
      <w:r>
        <w:rPr>
          <w:rFonts w:ascii="Arial" w:hAnsi="Arial"/>
          <w:color w:val="333333"/>
          <w:sz w:val="21"/>
        </w:rPr>
        <w:t>To prevent circular dependency blocks between stateful engines (e.g. Planner importing Memory directly), engines communicate by publishing and subscribing to topics on the core `EventBus`:</w:t>
      </w:r>
    </w:p>
    <w:p>
      <w:pPr>
        <w:spacing w:before="120" w:after="120"/>
        <w:ind w:left="720"/>
        <w:shd w:fill="F5F5F5"/>
      </w:pPr>
      <w:r>
        <w:rPr>
          <w:rFonts w:ascii="Consolas" w:hAnsi="Consolas"/>
          <w:color w:val="4B6B94"/>
          <w:sz w:val="19"/>
        </w:rPr>
        <w:t>User Input</w:t>
        <w:br/>
        <w:t xml:space="preserve">    ↓ (Emits: UserUtteredEvent)</w:t>
        <w:br/>
        <w:t>Intent Detection</w:t>
        <w:br/>
        <w:t xml:space="preserve">    ↓ (Emits: IntentDetectedEvent)</w:t>
        <w:br/>
        <w:t>Planning Engine</w:t>
        <w:br/>
        <w:t xml:space="preserve">    ↓ (Emits: PlanningStartedEvent)</w:t>
        <w:br/>
        <w:t>Tool Manager</w:t>
        <w:br/>
        <w:t xml:space="preserve">    ↓ (Emits: ToolSelectedEvent)</w:t>
        <w:br/>
        <w:t>Execution Engine</w:t>
        <w:br/>
        <w:t xml:space="preserve">    ↓ (Emits: ActionExecutedEvent)</w:t>
        <w:br/>
        <w:t>Observation Engine</w:t>
        <w:br/>
        <w:t xml:space="preserve">    ↓ (Emits: ResultValidatedEvent)</w:t>
        <w:br/>
        <w:t>User Response</w:t>
      </w:r>
    </w:p>
    <w:p>
      <w:pPr>
        <w:spacing w:after="120" w:line="276" w:lineRule="auto"/>
      </w:pPr>
      <w:r>
        <w:rPr>
          <w:rFonts w:ascii="Arial" w:hAnsi="Arial"/>
          <w:i/>
          <w:color w:val="333333"/>
          <w:sz w:val="21"/>
        </w:rPr>
        <w:t>Traceability:</w:t>
      </w:r>
      <w:r>
        <w:rPr>
          <w:rFonts w:ascii="Arial" w:hAnsi="Arial"/>
          <w:color w:val="333333"/>
          <w:sz w:val="21"/>
        </w:rPr>
        <w:t xml:space="preserve"> Every transaction sequence carries a unique `Trace ID` headers to allow cross-system execution tracing.</w:t>
      </w:r>
    </w:p>
    <w:p>
      <w:pPr>
        <w:spacing w:after="120" w:line="276" w:lineRule="auto"/>
      </w:pPr>
      <w:r>
        <w:rPr>
          <w:rFonts w:ascii="Arial" w:hAnsi="Arial"/>
          <w:color w:val="333333"/>
          <w:sz w:val="21"/>
        </w:rPr>
        <w:t>---</w:t>
      </w:r>
    </w:p>
    <w:p>
      <w:pPr>
        <w:keepNext/>
        <w:spacing w:before="360" w:after="160"/>
      </w:pPr>
      <w:r>
        <w:rPr>
          <w:b/>
          <w:color w:val="1B365D"/>
          <w:sz w:val="32"/>
        </w:rPr>
        <w:t>Global Subsystem Interface Contracts</w:t>
      </w:r>
    </w:p>
    <w:p>
      <w:pPr>
        <w:spacing w:after="120" w:line="276" w:lineRule="auto"/>
      </w:pPr>
      <w:r>
        <w:rPr>
          <w:rFonts w:ascii="Arial" w:hAnsi="Arial"/>
          <w:color w:val="333333"/>
          <w:sz w:val="21"/>
        </w:rPr>
        <w:t>Subsystems must expose these abstract base interfaces to ensure clean compilation dependency separation:</w:t>
      </w:r>
    </w:p>
    <w:p>
      <w:pPr>
        <w:pStyle w:val="ListBullet"/>
        <w:spacing w:after="60"/>
      </w:pPr>
      <w:r>
        <w:rPr>
          <w:rFonts w:ascii="Arial" w:hAnsi="Arial"/>
          <w:color w:val="333333"/>
          <w:sz w:val="21"/>
        </w:rPr>
        <w:t xml:space="preserve">  `ISpeechEngine` (Voice)</w:t>
      </w:r>
    </w:p>
    <w:p>
      <w:pPr>
        <w:pStyle w:val="ListBullet"/>
        <w:spacing w:after="60"/>
      </w:pPr>
      <w:r>
        <w:rPr>
          <w:rFonts w:ascii="Arial" w:hAnsi="Arial"/>
          <w:color w:val="333333"/>
          <w:sz w:val="21"/>
        </w:rPr>
        <w:t xml:space="preserve">  `IVisionEngine` (Vision)</w:t>
      </w:r>
    </w:p>
    <w:p>
      <w:pPr>
        <w:pStyle w:val="ListBullet"/>
        <w:spacing w:after="60"/>
      </w:pPr>
      <w:r>
        <w:rPr>
          <w:rFonts w:ascii="Arial" w:hAnsi="Arial"/>
          <w:color w:val="333333"/>
          <w:sz w:val="21"/>
        </w:rPr>
        <w:t xml:space="preserve">  `IMemoryEngine` (Memory)</w:t>
      </w:r>
    </w:p>
    <w:p>
      <w:pPr>
        <w:pStyle w:val="ListBullet"/>
        <w:spacing w:after="60"/>
      </w:pPr>
      <w:r>
        <w:rPr>
          <w:rFonts w:ascii="Arial" w:hAnsi="Arial"/>
          <w:color w:val="333333"/>
          <w:sz w:val="21"/>
        </w:rPr>
        <w:t xml:space="preserve">  `IPlanner` (Planning)</w:t>
      </w:r>
    </w:p>
    <w:p>
      <w:pPr>
        <w:pStyle w:val="ListBullet"/>
        <w:spacing w:after="60"/>
      </w:pPr>
      <w:r>
        <w:rPr>
          <w:rFonts w:ascii="Arial" w:hAnsi="Arial"/>
          <w:color w:val="333333"/>
          <w:sz w:val="21"/>
        </w:rPr>
        <w:t xml:space="preserve">  `IToolManager` (Tool routing)</w:t>
      </w:r>
    </w:p>
    <w:p>
      <w:pPr>
        <w:pStyle w:val="ListBullet"/>
        <w:spacing w:after="60"/>
      </w:pPr>
      <w:r>
        <w:rPr>
          <w:rFonts w:ascii="Arial" w:hAnsi="Arial"/>
          <w:color w:val="333333"/>
          <w:sz w:val="21"/>
        </w:rPr>
        <w:t xml:space="preserve">  `IExecutionEngine` (Execution)</w:t>
      </w:r>
    </w:p>
    <w:p>
      <w:pPr>
        <w:pStyle w:val="ListBullet"/>
        <w:spacing w:after="60"/>
      </w:pPr>
      <w:r>
        <w:rPr>
          <w:rFonts w:ascii="Arial" w:hAnsi="Arial"/>
          <w:color w:val="333333"/>
          <w:sz w:val="21"/>
        </w:rPr>
        <w:t xml:space="preserve">  `IWorkflowEngine` (Routine orchestration)</w:t>
      </w:r>
    </w:p>
    <w:p>
      <w:pPr>
        <w:pStyle w:val="ListBullet"/>
        <w:spacing w:after="60"/>
      </w:pPr>
      <w:r>
        <w:rPr>
          <w:rFonts w:ascii="Arial" w:hAnsi="Arial"/>
          <w:color w:val="333333"/>
          <w:sz w:val="21"/>
        </w:rPr>
        <w:t xml:space="preserve">  `IContextEngine` (State aggregation - </w:t>
      </w:r>
      <w:r>
        <w:rPr>
          <w:rFonts w:ascii="Arial" w:hAnsi="Arial"/>
          <w:i/>
          <w:color w:val="333333"/>
          <w:sz w:val="21"/>
        </w:rPr>
        <w:t>REQUIRES ARCHITECT REVIEW</w:t>
      </w:r>
      <w:r>
        <w:rPr>
          <w:rFonts w:ascii="Arial" w:hAnsi="Arial"/>
          <w:color w:val="333333"/>
          <w:sz w:val="21"/>
        </w:rPr>
        <w:t>)</w:t>
      </w:r>
    </w:p>
    <w:p>
      <w:pPr>
        <w:pStyle w:val="ListBullet"/>
        <w:spacing w:after="60"/>
      </w:pPr>
      <w:r>
        <w:rPr>
          <w:rFonts w:ascii="Arial" w:hAnsi="Arial"/>
          <w:color w:val="333333"/>
          <w:sz w:val="21"/>
        </w:rPr>
        <w:t xml:space="preserve">  `IPermissionEngine` (Safety validation - </w:t>
      </w:r>
      <w:r>
        <w:rPr>
          <w:rFonts w:ascii="Arial" w:hAnsi="Arial"/>
          <w:i/>
          <w:color w:val="333333"/>
          <w:sz w:val="21"/>
        </w:rPr>
        <w:t>REQUIRES ARCHITECT REVIEW</w:t>
      </w:r>
      <w:r>
        <w:rPr>
          <w:rFonts w:ascii="Arial" w:hAnsi="Arial"/>
          <w:color w:val="333333"/>
          <w:sz w:val="21"/>
        </w:rPr>
        <w:t>)</w:t>
      </w:r>
    </w:p>
    <w:p>
      <w:pPr>
        <w:spacing w:after="120" w:line="276" w:lineRule="auto"/>
      </w:pPr>
      <w:r>
        <w:rPr>
          <w:rFonts w:ascii="Arial" w:hAnsi="Arial"/>
          <w:color w:val="333333"/>
          <w:sz w:val="21"/>
        </w:rPr>
        <w:t>---</w:t>
      </w:r>
    </w:p>
    <w:p>
      <w:pPr>
        <w:keepNext/>
        <w:spacing w:before="360" w:after="160"/>
      </w:pPr>
      <w:r>
        <w:rPr>
          <w:b/>
          <w:color w:val="1B365D"/>
          <w:sz w:val="32"/>
        </w:rPr>
        <w:t>Low-Level Engine Index</w:t>
      </w:r>
    </w:p>
    <w:p>
      <w:pPr>
        <w:spacing w:after="120" w:line="276" w:lineRule="auto"/>
      </w:pPr>
      <w:r>
        <w:rPr>
          <w:rFonts w:ascii="Arial" w:hAnsi="Arial"/>
          <w:color w:val="333333"/>
          <w:sz w:val="21"/>
        </w:rPr>
        <w:t>The core engine package directory is composed of these stateful modules:</w:t>
      </w:r>
    </w:p>
    <w:p>
      <w:pPr>
        <w:pStyle w:val="ListBullet"/>
        <w:spacing w:after="60"/>
      </w:pPr>
      <w:r>
        <w:rPr>
          <w:rFonts w:ascii="Arial" w:hAnsi="Arial"/>
          <w:color w:val="333333"/>
          <w:sz w:val="21"/>
        </w:rPr>
        <w:t xml:space="preserve">  `AIOrchestrator`: Starts and stops platform sessions.</w:t>
      </w:r>
    </w:p>
    <w:p>
      <w:pPr>
        <w:pStyle w:val="ListBullet"/>
        <w:spacing w:after="60"/>
      </w:pPr>
      <w:r>
        <w:rPr>
          <w:rFonts w:ascii="Arial" w:hAnsi="Arial"/>
          <w:color w:val="333333"/>
          <w:sz w:val="21"/>
        </w:rPr>
        <w:t xml:space="preserve">  `Planner`: Compiles natural intentions into structured task blocks.</w:t>
      </w:r>
    </w:p>
    <w:p>
      <w:pPr>
        <w:pStyle w:val="ListBullet"/>
        <w:spacing w:after="60"/>
      </w:pPr>
      <w:r>
        <w:rPr>
          <w:rFonts w:ascii="Arial" w:hAnsi="Arial"/>
          <w:color w:val="333333"/>
          <w:sz w:val="21"/>
        </w:rPr>
        <w:t xml:space="preserve">  `Memory`: Retrieves and writes semantic and workspace database tables.</w:t>
      </w:r>
    </w:p>
    <w:p>
      <w:pPr>
        <w:pStyle w:val="ListBullet"/>
        <w:spacing w:after="60"/>
      </w:pPr>
      <w:r>
        <w:rPr>
          <w:rFonts w:ascii="Arial" w:hAnsi="Arial"/>
          <w:color w:val="333333"/>
          <w:sz w:val="21"/>
        </w:rPr>
        <w:t xml:space="preserve">  `Context`: Aggregates active window states and clips.</w:t>
      </w:r>
    </w:p>
    <w:p>
      <w:pPr>
        <w:pStyle w:val="ListBullet"/>
        <w:spacing w:after="60"/>
      </w:pPr>
      <w:r>
        <w:rPr>
          <w:rFonts w:ascii="Arial" w:hAnsi="Arial"/>
          <w:color w:val="333333"/>
          <w:sz w:val="21"/>
        </w:rPr>
        <w:t xml:space="preserve">  `Voice`: Handles STT streaming and TTS playbacks.</w:t>
      </w:r>
    </w:p>
    <w:p>
      <w:pPr>
        <w:pStyle w:val="ListBullet"/>
        <w:spacing w:after="60"/>
      </w:pPr>
      <w:r>
        <w:rPr>
          <w:rFonts w:ascii="Arial" w:hAnsi="Arial"/>
          <w:color w:val="333333"/>
          <w:sz w:val="21"/>
        </w:rPr>
        <w:t xml:space="preserve">  `Vision`: Normalizes screenshot outputs and element detections.</w:t>
      </w:r>
    </w:p>
    <w:p>
      <w:pPr>
        <w:pStyle w:val="ListBullet"/>
        <w:spacing w:after="60"/>
      </w:pPr>
      <w:r>
        <w:rPr>
          <w:rFonts w:ascii="Arial" w:hAnsi="Arial"/>
          <w:color w:val="333333"/>
          <w:sz w:val="21"/>
        </w:rPr>
        <w:t xml:space="preserve">  `ToolManager`: Resolves tools and checks permission grants.</w:t>
      </w:r>
    </w:p>
    <w:p>
      <w:pPr>
        <w:pStyle w:val="ListBullet"/>
        <w:spacing w:after="60"/>
      </w:pPr>
      <w:r>
        <w:rPr>
          <w:rFonts w:ascii="Arial" w:hAnsi="Arial"/>
          <w:color w:val="333333"/>
          <w:sz w:val="21"/>
        </w:rPr>
        <w:t xml:space="preserve">  `Execution`: Safely runs emulated actions.</w:t>
      </w:r>
    </w:p>
    <w:p>
      <w:pPr>
        <w:pStyle w:val="ListBullet"/>
        <w:spacing w:after="60"/>
      </w:pPr>
      <w:r>
        <w:rPr>
          <w:rFonts w:ascii="Arial" w:hAnsi="Arial"/>
          <w:color w:val="333333"/>
          <w:sz w:val="21"/>
        </w:rPr>
        <w:t xml:space="preserve">  `Observation`: Evaluates visual displays.</w:t>
      </w:r>
    </w:p>
    <w:p>
      <w:pPr>
        <w:pStyle w:val="ListBullet"/>
        <w:spacing w:after="60"/>
      </w:pPr>
      <w:r>
        <w:rPr>
          <w:rFonts w:ascii="Arial" w:hAnsi="Arial"/>
          <w:color w:val="333333"/>
          <w:sz w:val="21"/>
        </w:rPr>
        <w:t xml:space="preserve">  `Reflection`: Analyzes execution errors and suggests alternate tasks.</w:t>
      </w:r>
    </w:p>
    <w:p>
      <w:pPr>
        <w:pStyle w:val="ListBullet"/>
        <w:spacing w:after="60"/>
      </w:pPr>
      <w:r>
        <w:rPr>
          <w:rFonts w:ascii="Arial" w:hAnsi="Arial"/>
          <w:color w:val="333333"/>
          <w:sz w:val="21"/>
        </w:rPr>
        <w:t xml:space="preserve">  `Permission`: Evaluates active safety policies.</w:t>
      </w:r>
    </w:p>
    <w:p>
      <w:pPr>
        <w:pStyle w:val="ListBullet"/>
        <w:spacing w:after="60"/>
      </w:pPr>
      <w:r>
        <w:rPr>
          <w:rFonts w:ascii="Arial" w:hAnsi="Arial"/>
          <w:color w:val="333333"/>
          <w:sz w:val="21"/>
        </w:rPr>
        <w:t xml:space="preserve">  `Workflow`: Executes pre-configured, persistent routine tasks.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