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jc w:val="center"/>
      </w:pPr>
      <w:r>
        <w:rPr>
          <w:b/>
          <w:color w:val="1B365D"/>
          <w:sz w:val="44"/>
        </w:rPr>
        <w:t>Communication Framework Specification</w:t>
      </w:r>
    </w:p>
    <w:p>
      <w:pPr>
        <w:keepNext/>
        <w:spacing w:before="360" w:after="160"/>
      </w:pPr>
      <w:r>
        <w:rPr>
          <w:b/>
          <w:color w:val="1B365D"/>
          <w:sz w:val="32"/>
        </w:rPr>
        <w:t>Project NOVA System Subsystem Interconnect Model</w:t>
      </w:r>
    </w:p>
    <w:p>
      <w:pPr>
        <w:spacing w:after="120" w:line="276" w:lineRule="auto"/>
      </w:pPr>
      <w:r>
        <w:rPr>
          <w:rFonts w:ascii="Arial" w:hAnsi="Arial"/>
          <w:color w:val="333333"/>
          <w:sz w:val="21"/>
        </w:rPr>
        <w:t>---</w:t>
      </w:r>
    </w:p>
    <w:tbl>
      <w:tblPr>
        <w:tblW w:type="auto" w:w="0"/>
        <w:tblLayout w:type="fixed"/>
        <w:tblLook w:firstColumn="1" w:firstRow="1" w:lastColumn="0" w:lastRow="0" w:noHBand="0" w:noVBand="1" w:val="04A0"/>
      </w:tblPr>
      <w:tblGrid>
        <w:gridCol w:w="4680"/>
        <w:gridCol w:w="4680"/>
      </w:tblGrid>
      <w:tr>
        <w:tc>
          <w:tcPr>
            <w:tcW w:type="dxa" w:w="4680"/>
            <w:shd w:fill="1B365D"/>
            <w:tcMar>
              <w:top w:w="120" w:type="dxa"/>
              <w:bottom w:w="120" w:type="dxa"/>
              <w:left w:w="150" w:type="dxa"/>
              <w:right w:w="150" w:type="dxa"/>
            </w:tcMar>
          </w:tcPr>
          <w:p>
            <w:r>
              <w:rPr>
                <w:rFonts w:ascii="Arial" w:hAnsi="Arial"/>
                <w:b/>
                <w:color w:val="FFFFFF"/>
                <w:sz w:val="20"/>
              </w:rPr>
              <w:t>Field</w:t>
            </w:r>
          </w:p>
        </w:tc>
        <w:tc>
          <w:tcPr>
            <w:tcW w:type="dxa" w:w="4680"/>
            <w:shd w:fill="1B365D"/>
            <w:tcMar>
              <w:top w:w="120" w:type="dxa"/>
              <w:bottom w:w="120" w:type="dxa"/>
              <w:left w:w="150" w:type="dxa"/>
              <w:right w:w="150" w:type="dxa"/>
            </w:tcMar>
          </w:tcPr>
          <w:p>
            <w:r>
              <w:rPr>
                <w:rFonts w:ascii="Arial" w:hAnsi="Arial"/>
                <w:b/>
                <w:color w:val="FFFFFF"/>
                <w:sz w:val="20"/>
              </w:rPr>
              <w:t>Value</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**Document ID**</w:t>
            </w:r>
          </w:p>
        </w:tc>
        <w:tc>
          <w:tcPr>
            <w:tcW w:type="dxa" w:w="4680"/>
            <w:shd w:fill="FFFFFF"/>
            <w:tcMar>
              <w:top w:w="100" w:type="dxa"/>
              <w:bottom w:w="100" w:type="dxa"/>
              <w:left w:w="150" w:type="dxa"/>
              <w:right w:w="150" w:type="dxa"/>
            </w:tcMar>
          </w:tcPr>
          <w:p>
            <w:pPr>
              <w:spacing w:after="40"/>
            </w:pPr>
            <w:r>
              <w:rPr>
                <w:rFonts w:ascii="Arial" w:hAnsi="Arial"/>
                <w:color w:val="333333"/>
                <w:sz w:val="19"/>
              </w:rPr>
              <w:t>NOVA-SPEC-010</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**Version**</w:t>
            </w:r>
          </w:p>
        </w:tc>
        <w:tc>
          <w:tcPr>
            <w:tcW w:type="dxa" w:w="4680"/>
            <w:shd w:fill="F9FBFD"/>
            <w:tcMar>
              <w:top w:w="100" w:type="dxa"/>
              <w:bottom w:w="100" w:type="dxa"/>
              <w:left w:w="150" w:type="dxa"/>
              <w:right w:w="150" w:type="dxa"/>
            </w:tcMar>
          </w:tcPr>
          <w:p>
            <w:pPr>
              <w:spacing w:after="40"/>
            </w:pPr>
            <w:r>
              <w:rPr>
                <w:rFonts w:ascii="Arial" w:hAnsi="Arial"/>
                <w:color w:val="333333"/>
                <w:sz w:val="19"/>
              </w:rPr>
              <w:t>1.0</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**Status**</w:t>
            </w:r>
          </w:p>
        </w:tc>
        <w:tc>
          <w:tcPr>
            <w:tcW w:type="dxa" w:w="4680"/>
            <w:shd w:fill="FFFFFF"/>
            <w:tcMar>
              <w:top w:w="100" w:type="dxa"/>
              <w:bottom w:w="100" w:type="dxa"/>
              <w:left w:w="150" w:type="dxa"/>
              <w:right w:w="150" w:type="dxa"/>
            </w:tcMar>
          </w:tcPr>
          <w:p>
            <w:pPr>
              <w:spacing w:after="40"/>
            </w:pPr>
            <w:r>
              <w:rPr>
                <w:rFonts w:ascii="Arial" w:hAnsi="Arial"/>
                <w:color w:val="333333"/>
                <w:sz w:val="19"/>
              </w:rPr>
              <w:t>`APPROVED`</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**Author**</w:t>
            </w:r>
          </w:p>
        </w:tc>
        <w:tc>
          <w:tcPr>
            <w:tcW w:type="dxa" w:w="4680"/>
            <w:shd w:fill="F9FBFD"/>
            <w:tcMar>
              <w:top w:w="100" w:type="dxa"/>
              <w:bottom w:w="100" w:type="dxa"/>
              <w:left w:w="150" w:type="dxa"/>
              <w:right w:w="150" w:type="dxa"/>
            </w:tcMar>
          </w:tcPr>
          <w:p>
            <w:pPr>
              <w:spacing w:after="40"/>
            </w:pPr>
            <w:r>
              <w:rPr>
                <w:rFonts w:ascii="Arial" w:hAnsi="Arial"/>
                <w:color w:val="333333"/>
                <w:sz w:val="19"/>
              </w:rPr>
              <w:t>Antigravity (Lead Software Engineering Agent)</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**Reviewer**</w:t>
            </w:r>
          </w:p>
        </w:tc>
        <w:tc>
          <w:tcPr>
            <w:tcW w:type="dxa" w:w="4680"/>
            <w:shd w:fill="FFFFFF"/>
            <w:tcMar>
              <w:top w:w="100" w:type="dxa"/>
              <w:bottom w:w="100" w:type="dxa"/>
              <w:left w:w="150" w:type="dxa"/>
              <w:right w:w="150" w:type="dxa"/>
            </w:tcMar>
          </w:tcPr>
          <w:p>
            <w:pPr>
              <w:spacing w:after="40"/>
            </w:pPr>
            <w:r>
              <w:rPr>
                <w:rFonts w:ascii="Arial" w:hAnsi="Arial"/>
                <w:color w:val="333333"/>
                <w:sz w:val="19"/>
              </w:rPr>
              <w:t>ChatGPT (Chief Architect)</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**Approved By**</w:t>
            </w:r>
          </w:p>
        </w:tc>
        <w:tc>
          <w:tcPr>
            <w:tcW w:type="dxa" w:w="4680"/>
            <w:shd w:fill="F9FBFD"/>
            <w:tcMar>
              <w:top w:w="100" w:type="dxa"/>
              <w:bottom w:w="100" w:type="dxa"/>
              <w:left w:w="150" w:type="dxa"/>
              <w:right w:w="150" w:type="dxa"/>
            </w:tcMar>
          </w:tcPr>
          <w:p>
            <w:pPr>
              <w:spacing w:after="40"/>
            </w:pPr>
            <w:r>
              <w:rPr>
                <w:rFonts w:ascii="Arial" w:hAnsi="Arial"/>
                <w:color w:val="333333"/>
                <w:sz w:val="19"/>
              </w:rPr>
              <w:t>Praveen (Project Founder)</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**Created**</w:t>
            </w:r>
          </w:p>
        </w:tc>
        <w:tc>
          <w:tcPr>
            <w:tcW w:type="dxa" w:w="4680"/>
            <w:shd w:fill="FFFFFF"/>
            <w:tcMar>
              <w:top w:w="100" w:type="dxa"/>
              <w:bottom w:w="100" w:type="dxa"/>
              <w:left w:w="150" w:type="dxa"/>
              <w:right w:w="150" w:type="dxa"/>
            </w:tcMar>
          </w:tcPr>
          <w:p>
            <w:pPr>
              <w:spacing w:after="40"/>
            </w:pPr>
            <w:r>
              <w:rPr>
                <w:rFonts w:ascii="Arial" w:hAnsi="Arial"/>
                <w:color w:val="333333"/>
                <w:sz w:val="19"/>
              </w:rPr>
              <w:t>2026-06-28</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**Last Updated**</w:t>
            </w:r>
          </w:p>
        </w:tc>
        <w:tc>
          <w:tcPr>
            <w:tcW w:type="dxa" w:w="4680"/>
            <w:shd w:fill="F9FBFD"/>
            <w:tcMar>
              <w:top w:w="100" w:type="dxa"/>
              <w:bottom w:w="100" w:type="dxa"/>
              <w:left w:w="150" w:type="dxa"/>
              <w:right w:w="150" w:type="dxa"/>
            </w:tcMar>
          </w:tcPr>
          <w:p>
            <w:pPr>
              <w:spacing w:after="40"/>
            </w:pPr>
            <w:r>
              <w:rPr>
                <w:rFonts w:ascii="Arial" w:hAnsi="Arial"/>
                <w:color w:val="333333"/>
                <w:sz w:val="19"/>
              </w:rPr>
              <w:t>2026-06-28</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**Dependencies**</w:t>
            </w:r>
          </w:p>
        </w:tc>
        <w:tc>
          <w:tcPr>
            <w:tcW w:type="dxa" w:w="4680"/>
            <w:shd w:fill="FFFFFF"/>
            <w:tcMar>
              <w:top w:w="100" w:type="dxa"/>
              <w:bottom w:w="100" w:type="dxa"/>
              <w:left w:w="150" w:type="dxa"/>
              <w:right w:w="150" w:type="dxa"/>
            </w:tcMar>
          </w:tcPr>
          <w:p>
            <w:pPr>
              <w:spacing w:after="40"/>
            </w:pPr>
            <w:r>
              <w:rPr>
                <w:rFonts w:ascii="Arial" w:hAnsi="Arial"/>
                <w:color w:val="333333"/>
                <w:sz w:val="19"/>
              </w:rPr>
              <w:t>NOVA-SPEC-003, NOVA-SPEC-009</w:t>
            </w:r>
          </w:p>
        </w:tc>
      </w:tr>
    </w:tbl>
    <w:p>
      <w:pPr>
        <w:spacing w:before="240" w:after="0"/>
      </w:pPr>
    </w:p>
    <w:p>
      <w:pPr>
        <w:spacing w:after="120" w:line="276" w:lineRule="auto"/>
      </w:pPr>
      <w:r>
        <w:rPr>
          <w:rFonts w:ascii="Arial" w:hAnsi="Arial"/>
          <w:color w:val="333333"/>
          <w:sz w:val="21"/>
        </w:rPr>
        <w:t>---</w:t>
      </w:r>
    </w:p>
    <w:p>
      <w:pPr>
        <w:keepNext/>
        <w:spacing w:before="360" w:after="160"/>
      </w:pPr>
      <w:r>
        <w:rPr>
          <w:b/>
          <w:color w:val="1B365D"/>
          <w:sz w:val="32"/>
        </w:rPr>
        <w:t>Revision History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r>
              <w:rPr>
                <w:rFonts w:ascii="Arial" w:hAnsi="Arial"/>
                <w:b/>
                <w:color w:val="FFFFFF"/>
                <w:sz w:val="20"/>
              </w:rPr>
              <w:t>Version</w:t>
            </w:r>
          </w:p>
        </w:tc>
        <w:tc>
          <w:tcPr>
            <w:tcW w:type="dxa" w:w="2340"/>
            <w:shd w:fill="1B365D"/>
            <w:tcMar>
              <w:top w:w="120" w:type="dxa"/>
              <w:bottom w:w="120" w:type="dxa"/>
              <w:left w:w="150" w:type="dxa"/>
              <w:right w:w="150" w:type="dxa"/>
            </w:tcMar>
          </w:tcPr>
          <w:p>
            <w:r>
              <w:rPr>
                <w:rFonts w:ascii="Arial" w:hAnsi="Arial"/>
                <w:b/>
                <w:color w:val="FFFFFF"/>
                <w:sz w:val="20"/>
              </w:rPr>
              <w:t>Date</w:t>
            </w:r>
          </w:p>
        </w:tc>
        <w:tc>
          <w:tcPr>
            <w:tcW w:type="dxa" w:w="2340"/>
            <w:shd w:fill="1B365D"/>
            <w:tcMar>
              <w:top w:w="120" w:type="dxa"/>
              <w:bottom w:w="120" w:type="dxa"/>
              <w:left w:w="150" w:type="dxa"/>
              <w:right w:w="150" w:type="dxa"/>
            </w:tcMar>
          </w:tcPr>
          <w:p>
            <w:r>
              <w:rPr>
                <w:rFonts w:ascii="Arial" w:hAnsi="Arial"/>
                <w:b/>
                <w:color w:val="FFFFFF"/>
                <w:sz w:val="20"/>
              </w:rPr>
              <w:t>Author</w:t>
            </w:r>
          </w:p>
        </w:tc>
        <w:tc>
          <w:tcPr>
            <w:tcW w:type="dxa" w:w="2340"/>
            <w:shd w:fill="1B365D"/>
            <w:tcMar>
              <w:top w:w="120" w:type="dxa"/>
              <w:bottom w:w="120" w:type="dxa"/>
              <w:left w:w="150" w:type="dxa"/>
              <w:right w:w="150" w:type="dxa"/>
            </w:tcMar>
          </w:tcPr>
          <w:p>
            <w:r>
              <w:rPr>
                <w:rFonts w:ascii="Arial" w:hAnsi="Arial"/>
                <w:b/>
                <w:color w:val="FFFFFF"/>
                <w:sz w:val="20"/>
              </w:rPr>
              <w:t>Summary of Changes</w:t>
            </w:r>
          </w:p>
        </w:tc>
      </w:tr>
      <w:tr>
        <w:tc>
          <w:tcPr>
            <w:tcW w:type="dxa" w:w="2340"/>
            <w:shd w:fill="FFFFFF"/>
            <w:tcMar>
              <w:top w:w="100" w:type="dxa"/>
              <w:bottom w:w="100" w:type="dxa"/>
              <w:left w:w="150" w:type="dxa"/>
              <w:right w:w="150" w:type="dxa"/>
            </w:tcMar>
          </w:tcPr>
          <w:p>
            <w:pPr>
              <w:spacing w:after="40"/>
            </w:pPr>
            <w:r>
              <w:rPr>
                <w:rFonts w:ascii="Arial" w:hAnsi="Arial"/>
                <w:color w:val="333333"/>
                <w:sz w:val="19"/>
              </w:rPr>
              <w:t>1.0</w:t>
            </w:r>
          </w:p>
        </w:tc>
        <w:tc>
          <w:tcPr>
            <w:tcW w:type="dxa" w:w="2340"/>
            <w:shd w:fill="FFFFFF"/>
            <w:tcMar>
              <w:top w:w="100" w:type="dxa"/>
              <w:bottom w:w="100" w:type="dxa"/>
              <w:left w:w="150" w:type="dxa"/>
              <w:right w:w="150" w:type="dxa"/>
            </w:tcMar>
          </w:tcPr>
          <w:p>
            <w:pPr>
              <w:spacing w:after="40"/>
            </w:pPr>
            <w:r>
              <w:rPr>
                <w:rFonts w:ascii="Arial" w:hAnsi="Arial"/>
                <w:color w:val="333333"/>
                <w:sz w:val="19"/>
              </w:rPr>
              <w:t>2026-06-28</w:t>
            </w:r>
          </w:p>
        </w:tc>
        <w:tc>
          <w:tcPr>
            <w:tcW w:type="dxa" w:w="2340"/>
            <w:shd w:fill="FFFFFF"/>
            <w:tcMar>
              <w:top w:w="100" w:type="dxa"/>
              <w:bottom w:w="100" w:type="dxa"/>
              <w:left w:w="150" w:type="dxa"/>
              <w:right w:w="150" w:type="dxa"/>
            </w:tcMar>
          </w:tcPr>
          <w:p>
            <w:pPr>
              <w:spacing w:after="40"/>
            </w:pPr>
            <w:r>
              <w:rPr>
                <w:rFonts w:ascii="Arial" w:hAnsi="Arial"/>
                <w:color w:val="333333"/>
                <w:sz w:val="19"/>
              </w:rPr>
              <w:t>Antigravity</w:t>
            </w:r>
          </w:p>
        </w:tc>
        <w:tc>
          <w:tcPr>
            <w:tcW w:type="dxa" w:w="2340"/>
            <w:shd w:fill="FFFFFF"/>
            <w:tcMar>
              <w:top w:w="100" w:type="dxa"/>
              <w:bottom w:w="100" w:type="dxa"/>
              <w:left w:w="150" w:type="dxa"/>
              <w:right w:w="150" w:type="dxa"/>
            </w:tcMar>
          </w:tcPr>
          <w:p>
            <w:pPr>
              <w:spacing w:after="40"/>
            </w:pPr>
            <w:r>
              <w:rPr>
                <w:rFonts w:ascii="Arial" w:hAnsi="Arial"/>
                <w:color w:val="333333"/>
                <w:sz w:val="19"/>
              </w:rPr>
              <w:t>Initial publication defining event flows, async schemas, and IEventBus interfaces.</w:t>
            </w:r>
          </w:p>
        </w:tc>
      </w:tr>
    </w:tbl>
    <w:p>
      <w:pPr>
        <w:spacing w:before="240" w:after="0"/>
      </w:pPr>
    </w:p>
    <w:p>
      <w:pPr>
        <w:spacing w:after="120" w:line="276" w:lineRule="auto"/>
      </w:pPr>
      <w:r>
        <w:rPr>
          <w:rFonts w:ascii="Arial" w:hAnsi="Arial"/>
          <w:color w:val="333333"/>
          <w:sz w:val="21"/>
        </w:rPr>
        <w:t>---</w:t>
      </w:r>
    </w:p>
    <w:p>
      <w:pPr>
        <w:keepNext/>
        <w:spacing w:before="360" w:after="160"/>
      </w:pPr>
      <w:r>
        <w:rPr>
          <w:b/>
          <w:color w:val="1B365D"/>
          <w:sz w:val="32"/>
        </w:rPr>
        <w:t>Table of Contents</w:t>
      </w:r>
    </w:p>
    <w:p>
      <w:pPr>
        <w:pStyle w:val="ListNumber"/>
        <w:spacing w:after="60"/>
      </w:pPr>
      <w:r>
        <w:rPr>
          <w:rFonts w:ascii="Arial" w:hAnsi="Arial"/>
          <w:color w:val="333333"/>
          <w:sz w:val="21"/>
        </w:rPr>
        <w:t>[Executive Summary](#executive-summary)</w:t>
      </w:r>
    </w:p>
    <w:p>
      <w:pPr>
        <w:pStyle w:val="ListNumber"/>
        <w:spacing w:after="60"/>
      </w:pPr>
      <w:r>
        <w:rPr>
          <w:rFonts w:ascii="Arial" w:hAnsi="Arial"/>
          <w:color w:val="333333"/>
          <w:sz w:val="21"/>
        </w:rPr>
        <w:t>[Communication Model Requirements](#communication-model-requirements)</w:t>
      </w:r>
    </w:p>
    <w:p>
      <w:pPr>
        <w:pStyle w:val="ListNumber"/>
        <w:spacing w:after="60"/>
      </w:pPr>
      <w:r>
        <w:rPr>
          <w:rFonts w:ascii="Arial" w:hAnsi="Arial"/>
          <w:color w:val="333333"/>
          <w:sz w:val="21"/>
        </w:rPr>
        <w:t>[Event Flow &amp; Sequence Diagrams](#event-flow--sequence-diagrams)</w:t>
      </w:r>
    </w:p>
    <w:p>
      <w:pPr>
        <w:pStyle w:val="ListNumber"/>
        <w:spacing w:after="60"/>
      </w:pPr>
      <w:r>
        <w:rPr>
          <w:rFonts w:ascii="Arial" w:hAnsi="Arial"/>
          <w:color w:val="333333"/>
          <w:sz w:val="21"/>
        </w:rPr>
        <w:t>[Dependency Rules](#dependency-rules)</w:t>
      </w:r>
    </w:p>
    <w:p>
      <w:pPr>
        <w:pStyle w:val="ListNumber"/>
        <w:spacing w:after="60"/>
      </w:pPr>
      <w:r>
        <w:rPr>
          <w:rFonts w:ascii="Arial" w:hAnsi="Arial"/>
          <w:color w:val="333333"/>
          <w:sz w:val="21"/>
        </w:rPr>
        <w:t>[State Machine &amp; Failure Recovery](#state-machine--failure-recovery)</w:t>
      </w:r>
    </w:p>
    <w:p>
      <w:pPr>
        <w:pStyle w:val="ListNumber"/>
        <w:spacing w:after="60"/>
      </w:pPr>
      <w:r>
        <w:rPr>
          <w:rFonts w:ascii="Arial" w:hAnsi="Arial"/>
          <w:color w:val="333333"/>
          <w:sz w:val="21"/>
        </w:rPr>
        <w:t>[Public Interfaces](#public-interfaces)</w:t>
      </w:r>
    </w:p>
    <w:p>
      <w:pPr>
        <w:pStyle w:val="ListNumber"/>
        <w:spacing w:after="60"/>
      </w:pPr>
      <w:r>
        <w:rPr>
          <w:rFonts w:ascii="Arial" w:hAnsi="Arial"/>
          <w:color w:val="333333"/>
          <w:sz w:val="21"/>
        </w:rPr>
        <w:t>[Message Envelope Schema](#message-envelope-schema)</w:t>
      </w:r>
    </w:p>
    <w:p>
      <w:pPr>
        <w:pStyle w:val="ListNumber"/>
        <w:spacing w:after="60"/>
      </w:pPr>
      <w:r>
        <w:rPr>
          <w:rFonts w:ascii="Arial" w:hAnsi="Arial"/>
          <w:color w:val="333333"/>
          <w:sz w:val="21"/>
        </w:rPr>
        <w:t>[ADR Recommendations](#adr-recommendations)</w:t>
      </w:r>
    </w:p>
    <w:p>
      <w:pPr>
        <w:spacing w:after="120" w:line="276" w:lineRule="auto"/>
      </w:pPr>
      <w:r>
        <w:rPr>
          <w:rFonts w:ascii="Arial" w:hAnsi="Arial"/>
          <w:color w:val="333333"/>
          <w:sz w:val="21"/>
        </w:rPr>
        <w:t>---</w:t>
      </w:r>
    </w:p>
    <w:p>
      <w:pPr>
        <w:keepNext/>
        <w:spacing w:before="360" w:after="160"/>
      </w:pPr>
      <w:r>
        <w:rPr>
          <w:b/>
          <w:color w:val="1B365D"/>
          <w:sz w:val="32"/>
        </w:rPr>
        <w:t>Executive Summary</w:t>
      </w:r>
    </w:p>
    <w:p>
      <w:pPr>
        <w:spacing w:after="120" w:line="276" w:lineRule="auto"/>
      </w:pPr>
      <w:r>
        <w:rPr>
          <w:rFonts w:ascii="Arial" w:hAnsi="Arial"/>
          <w:color w:val="333333"/>
          <w:sz w:val="21"/>
        </w:rPr>
        <w:t>The Communication Framework provides the central asynchronous messaging backbone for Project NOVA. It enables loose coupling between the AI Kernel, memory engines, planners, and capabilities (Voice, Vision, Desktop, Browser). By standardizing on an event-driven `IEventBus` model, the system supports both single-node concurrency and future distributed execution architectures.</w:t>
      </w:r>
    </w:p>
    <w:p>
      <w:pPr>
        <w:spacing w:after="120" w:line="276" w:lineRule="auto"/>
      </w:pPr>
      <w:r>
        <w:rPr>
          <w:rFonts w:ascii="Arial" w:hAnsi="Arial"/>
          <w:color w:val="333333"/>
          <w:sz w:val="21"/>
        </w:rPr>
        <w:t>---</w:t>
      </w:r>
    </w:p>
    <w:p>
      <w:pPr>
        <w:keepNext/>
        <w:spacing w:before="360" w:after="160"/>
      </w:pPr>
      <w:r>
        <w:rPr>
          <w:b/>
          <w:color w:val="1B365D"/>
          <w:sz w:val="32"/>
        </w:rPr>
        <w:t>Communication Model Requirements</w:t>
      </w:r>
    </w:p>
    <w:p>
      <w:pPr>
        <w:spacing w:after="120" w:line="276" w:lineRule="auto"/>
      </w:pPr>
      <w:r>
        <w:rPr>
          <w:rFonts w:ascii="Arial" w:hAnsi="Arial"/>
          <w:color w:val="333333"/>
          <w:sz w:val="21"/>
        </w:rPr>
        <w:t>The framework satisfies the following core operational requirements:</w:t>
      </w:r>
    </w:p>
    <w:p>
      <w:pPr>
        <w:pStyle w:val="ListBullet"/>
        <w:spacing w:after="60"/>
      </w:pPr>
      <w:r>
        <w:rPr>
          <w:rFonts w:ascii="Arial" w:hAnsi="Arial"/>
          <w:color w:val="333333"/>
          <w:sz w:val="21"/>
        </w:rPr>
        <w:t xml:space="preserve">  </w:t>
      </w:r>
      <w:r>
        <w:rPr>
          <w:rFonts w:ascii="Arial" w:hAnsi="Arial"/>
          <w:b/>
          <w:color w:val="333333"/>
          <w:sz w:val="21"/>
        </w:rPr>
        <w:t>Loose Coupling:</w:t>
      </w:r>
      <w:r>
        <w:rPr>
          <w:rFonts w:ascii="Arial" w:hAnsi="Arial"/>
          <w:color w:val="333333"/>
          <w:sz w:val="21"/>
        </w:rPr>
        <w:t xml:space="preserve"> Engines never instantiate one another directly. All cross-domain communication routes through the Event Bus.</w:t>
      </w:r>
    </w:p>
    <w:p>
      <w:pPr>
        <w:pStyle w:val="ListBullet"/>
        <w:spacing w:after="60"/>
      </w:pPr>
      <w:r>
        <w:rPr>
          <w:rFonts w:ascii="Arial" w:hAnsi="Arial"/>
          <w:color w:val="333333"/>
          <w:sz w:val="21"/>
        </w:rPr>
        <w:t xml:space="preserve">  </w:t>
      </w:r>
      <w:r>
        <w:rPr>
          <w:rFonts w:ascii="Arial" w:hAnsi="Arial"/>
          <w:b/>
          <w:color w:val="333333"/>
          <w:sz w:val="21"/>
        </w:rPr>
        <w:t>Event-Driven Execution:</w:t>
      </w:r>
      <w:r>
        <w:rPr>
          <w:rFonts w:ascii="Arial" w:hAnsi="Arial"/>
          <w:color w:val="333333"/>
          <w:sz w:val="21"/>
        </w:rPr>
        <w:t xml:space="preserve"> Components react to specific topic triggers.</w:t>
      </w:r>
    </w:p>
    <w:p>
      <w:pPr>
        <w:pStyle w:val="ListBullet"/>
        <w:spacing w:after="60"/>
      </w:pPr>
      <w:r>
        <w:rPr>
          <w:rFonts w:ascii="Arial" w:hAnsi="Arial"/>
          <w:color w:val="333333"/>
          <w:sz w:val="21"/>
        </w:rPr>
        <w:t xml:space="preserve">  </w:t>
      </w:r>
      <w:r>
        <w:rPr>
          <w:rFonts w:ascii="Arial" w:hAnsi="Arial"/>
          <w:b/>
          <w:color w:val="333333"/>
          <w:sz w:val="21"/>
        </w:rPr>
        <w:t>Request/Response &amp; Pub/Sub:</w:t>
      </w:r>
      <w:r>
        <w:rPr>
          <w:rFonts w:ascii="Arial" w:hAnsi="Arial"/>
          <w:color w:val="333333"/>
          <w:sz w:val="21"/>
        </w:rPr>
        <w:t xml:space="preserve"> Supports RPC-style blocking calls via correlation IDs, and fire-and-forget broadcasts.</w:t>
      </w:r>
    </w:p>
    <w:p>
      <w:pPr>
        <w:pStyle w:val="ListBullet"/>
        <w:spacing w:after="60"/>
      </w:pPr>
      <w:r>
        <w:rPr>
          <w:rFonts w:ascii="Arial" w:hAnsi="Arial"/>
          <w:color w:val="333333"/>
          <w:sz w:val="21"/>
        </w:rPr>
        <w:t xml:space="preserve">  </w:t>
      </w:r>
      <w:r>
        <w:rPr>
          <w:rFonts w:ascii="Arial" w:hAnsi="Arial"/>
          <w:b/>
          <w:color w:val="333333"/>
          <w:sz w:val="21"/>
        </w:rPr>
        <w:t>Async Execution &amp; Streaming:</w:t>
      </w:r>
      <w:r>
        <w:rPr>
          <w:rFonts w:ascii="Arial" w:hAnsi="Arial"/>
          <w:color w:val="333333"/>
          <w:sz w:val="21"/>
        </w:rPr>
        <w:t xml:space="preserve"> Built natively on asynchronous coroutines, supporting data chunk yielding (e.g., voice transcription streams).</w:t>
      </w:r>
    </w:p>
    <w:p>
      <w:pPr>
        <w:pStyle w:val="ListBullet"/>
        <w:spacing w:after="60"/>
      </w:pPr>
      <w:r>
        <w:rPr>
          <w:rFonts w:ascii="Arial" w:hAnsi="Arial"/>
          <w:color w:val="333333"/>
          <w:sz w:val="21"/>
        </w:rPr>
        <w:t xml:space="preserve">  </w:t>
      </w:r>
      <w:r>
        <w:rPr>
          <w:rFonts w:ascii="Arial" w:hAnsi="Arial"/>
          <w:b/>
          <w:color w:val="333333"/>
          <w:sz w:val="21"/>
        </w:rPr>
        <w:t>Cancellation &amp; Timeouts:</w:t>
      </w:r>
      <w:r>
        <w:rPr>
          <w:rFonts w:ascii="Arial" w:hAnsi="Arial"/>
          <w:color w:val="333333"/>
          <w:sz w:val="21"/>
        </w:rPr>
        <w:t xml:space="preserve"> Tasks can be aborted mid-flight using cancellation tokens.</w:t>
      </w:r>
    </w:p>
    <w:p>
      <w:pPr>
        <w:pStyle w:val="ListBullet"/>
        <w:spacing w:after="60"/>
      </w:pPr>
      <w:r>
        <w:rPr>
          <w:rFonts w:ascii="Arial" w:hAnsi="Arial"/>
          <w:color w:val="333333"/>
          <w:sz w:val="21"/>
        </w:rPr>
        <w:t xml:space="preserve">  </w:t>
      </w:r>
      <w:r>
        <w:rPr>
          <w:rFonts w:ascii="Arial" w:hAnsi="Arial"/>
          <w:b/>
          <w:color w:val="333333"/>
          <w:sz w:val="21"/>
        </w:rPr>
        <w:t>Observability:</w:t>
      </w:r>
      <w:r>
        <w:rPr>
          <w:rFonts w:ascii="Arial" w:hAnsi="Arial"/>
          <w:color w:val="333333"/>
          <w:sz w:val="21"/>
        </w:rPr>
        <w:t xml:space="preserve"> Built-in error propagation, automated DLQ (Dead Letter Queue) routing, logging, metrics, and distributed tracing.</w:t>
      </w:r>
    </w:p>
    <w:p>
      <w:pPr>
        <w:spacing w:after="120" w:line="276" w:lineRule="auto"/>
      </w:pPr>
      <w:r>
        <w:rPr>
          <w:rFonts w:ascii="Arial" w:hAnsi="Arial"/>
          <w:color w:val="333333"/>
          <w:sz w:val="21"/>
        </w:rPr>
        <w:t>---</w:t>
      </w:r>
    </w:p>
    <w:p>
      <w:pPr>
        <w:keepNext/>
        <w:spacing w:before="360" w:after="160"/>
      </w:pPr>
      <w:r>
        <w:rPr>
          <w:b/>
          <w:color w:val="1B365D"/>
          <w:sz w:val="32"/>
        </w:rPr>
        <w:t>Event Flow &amp; Sequence Diagrams</w:t>
      </w:r>
    </w:p>
    <w:p>
      <w:pPr>
        <w:keepNext/>
        <w:spacing w:before="280" w:after="120"/>
      </w:pPr>
      <w:r>
        <w:rPr>
          <w:b/>
          <w:color w:val="4B6B94"/>
          <w:sz w:val="26"/>
        </w:rPr>
        <w:t>Standard Publish/Subscribe Flow</w:t>
      </w:r>
    </w:p>
    <w:p>
      <w:pPr>
        <w:spacing w:before="120" w:after="120"/>
        <w:ind w:left="720"/>
        <w:shd w:fill="F5F5F5"/>
      </w:pPr>
      <w:r>
        <w:rPr>
          <w:rFonts w:ascii="Consolas" w:hAnsi="Consolas"/>
          <w:color w:val="4B6B94"/>
          <w:sz w:val="19"/>
        </w:rPr>
        <w:t>sequenceDiagram</w:t>
        <w:br/>
        <w:t xml:space="preserve">    participant AI as AI Kernel</w:t>
        <w:br/>
        <w:t xml:space="preserve">    participant EB as EventBus</w:t>
        <w:br/>
        <w:t xml:space="preserve">    participant Mem as Memory Engine</w:t>
        <w:br/>
        <w:t xml:space="preserve">    participant Log as Metrics Engine</w:t>
        <w:br/>
        <w:br/>
        <w:t xml:space="preserve">    AI-&gt;&gt;EB: Publish(Topic="State.Updated", Payload={...})</w:t>
        <w:br/>
        <w:t xml:space="preserve">    EB--&gt;&gt;Mem: Deliver(Topic="State.Updated")</w:t>
        <w:br/>
        <w:t xml:space="preserve">    EB--&gt;&gt;Log: Deliver(Topic="State.Updated")</w:t>
      </w:r>
    </w:p>
    <w:p>
      <w:pPr>
        <w:keepNext/>
        <w:spacing w:before="280" w:after="120"/>
      </w:pPr>
      <w:r>
        <w:rPr>
          <w:b/>
          <w:color w:val="4B6B94"/>
          <w:sz w:val="26"/>
        </w:rPr>
        <w:t>Request/Response (RPC) Flow</w:t>
      </w:r>
    </w:p>
    <w:p>
      <w:pPr>
        <w:spacing w:before="120" w:after="120"/>
        <w:ind w:left="720"/>
        <w:shd w:fill="F5F5F5"/>
      </w:pPr>
      <w:r>
        <w:rPr>
          <w:rFonts w:ascii="Consolas" w:hAnsi="Consolas"/>
          <w:color w:val="4B6B94"/>
          <w:sz w:val="19"/>
        </w:rPr>
        <w:t>sequenceDiagram</w:t>
        <w:br/>
        <w:t xml:space="preserve">    participant Plan as Planner Engine</w:t>
        <w:br/>
        <w:t xml:space="preserve">    participant EB as EventBus</w:t>
        <w:br/>
        <w:t xml:space="preserve">    participant Cap as Capability Router</w:t>
        <w:br/>
        <w:t xml:space="preserve">    participant Desk as Desktop Capability</w:t>
        <w:br/>
        <w:br/>
        <w:t xml:space="preserve">    Plan-&gt;&gt;EB: Request(Topic="Cmd.Desktop.Click", Payload={x:100, y:200})</w:t>
        <w:br/>
        <w:t xml:space="preserve">    Note over EB: Generates CorrelationID: 1234</w:t>
        <w:br/>
        <w:t xml:space="preserve">    EB-&gt;&gt;Cap: Deliver(Topic="Cmd.Desktop.Click", CID: 1234)</w:t>
        <w:br/>
        <w:t xml:space="preserve">    Cap-&gt;&gt;Desk: Execute Action</w:t>
        <w:br/>
        <w:t xml:space="preserve">    Desk--&gt;&gt;Cap: Result: Success</w:t>
        <w:br/>
        <w:t xml:space="preserve">    Cap-&gt;&gt;EB: Respond(CID: 1234, Payload={status: "OK"})</w:t>
        <w:br/>
        <w:t xml:space="preserve">    EB--&gt;&gt;Plan: Await returns Response Payload</w:t>
      </w:r>
    </w:p>
    <w:p>
      <w:pPr>
        <w:keepNext/>
        <w:spacing w:before="280" w:after="120"/>
      </w:pPr>
      <w:r>
        <w:rPr>
          <w:b/>
          <w:color w:val="4B6B94"/>
          <w:sz w:val="26"/>
        </w:rPr>
        <w:t>Cancellation Flow</w:t>
      </w:r>
    </w:p>
    <w:p>
      <w:pPr>
        <w:spacing w:before="120" w:after="120"/>
        <w:ind w:left="720"/>
        <w:shd w:fill="F5F5F5"/>
      </w:pPr>
      <w:r>
        <w:rPr>
          <w:rFonts w:ascii="Consolas" w:hAnsi="Consolas"/>
          <w:color w:val="4B6B94"/>
          <w:sz w:val="19"/>
        </w:rPr>
        <w:t>sequenceDiagram</w:t>
        <w:br/>
        <w:t xml:space="preserve">    participant User as User / Gateway</w:t>
        <w:br/>
        <w:t xml:space="preserve">    participant AI as AI Kernel</w:t>
        <w:br/>
        <w:t xml:space="preserve">    participant EB as EventBus</w:t>
        <w:br/>
        <w:t xml:space="preserve">    participant Exec as Execution Engine</w:t>
        <w:br/>
        <w:br/>
        <w:t xml:space="preserve">    User-&gt;&gt;AI: Trigger Global Abort (Ctrl+Shift+Alt+X)</w:t>
        <w:br/>
        <w:t xml:space="preserve">    AI-&gt;&gt;EB: Publish(Topic="System.Abort")</w:t>
        <w:br/>
        <w:t xml:space="preserve">    EB-&gt;&gt;Exec: Deliver(Topic="System.Abort")</w:t>
        <w:br/>
        <w:t xml:space="preserve">    Exec-&gt;&gt;Exec: Trigger CancellationToken.Cancel()</w:t>
        <w:br/>
        <w:t xml:space="preserve">    Exec--&gt;&gt;EB: Publish(Topic="Action.Cancelled")</w:t>
      </w:r>
    </w:p>
    <w:p>
      <w:pPr>
        <w:spacing w:after="120" w:line="276" w:lineRule="auto"/>
      </w:pPr>
      <w:r>
        <w:rPr>
          <w:rFonts w:ascii="Arial" w:hAnsi="Arial"/>
          <w:color w:val="333333"/>
          <w:sz w:val="21"/>
        </w:rPr>
        <w:t>---</w:t>
      </w:r>
    </w:p>
    <w:p>
      <w:pPr>
        <w:keepNext/>
        <w:spacing w:before="360" w:after="160"/>
      </w:pPr>
      <w:r>
        <w:rPr>
          <w:b/>
          <w:color w:val="1B365D"/>
          <w:sz w:val="32"/>
        </w:rPr>
        <w:t>Dependency Rules</w:t>
      </w:r>
    </w:p>
    <w:p>
      <w:pPr>
        <w:spacing w:after="120" w:line="276" w:lineRule="auto"/>
      </w:pPr>
      <w:r>
        <w:rPr>
          <w:rFonts w:ascii="Arial" w:hAnsi="Arial"/>
          <w:color w:val="333333"/>
          <w:sz w:val="21"/>
        </w:rPr>
        <w:t>To maintain strict boundaries, the framework enforces these constraints:</w:t>
      </w:r>
    </w:p>
    <w:p>
      <w:pPr>
        <w:pStyle w:val="ListNumber"/>
        <w:spacing w:after="60"/>
      </w:pPr>
      <w:r>
        <w:rPr>
          <w:rFonts w:ascii="Arial" w:hAnsi="Arial"/>
          <w:b/>
          <w:color w:val="333333"/>
          <w:sz w:val="21"/>
        </w:rPr>
        <w:t>Inversion of Control:</w:t>
      </w:r>
      <w:r>
        <w:rPr>
          <w:rFonts w:ascii="Arial" w:hAnsi="Arial"/>
          <w:color w:val="333333"/>
          <w:sz w:val="21"/>
        </w:rPr>
        <w:t xml:space="preserve"> Subsystems (Voice, Vision, Planner, Capabilities) </w:t>
      </w:r>
      <w:r>
        <w:rPr>
          <w:rFonts w:ascii="Arial" w:hAnsi="Arial"/>
          <w:b/>
          <w:color w:val="333333"/>
          <w:sz w:val="21"/>
        </w:rPr>
        <w:t>MUST NOT</w:t>
      </w:r>
      <w:r>
        <w:rPr>
          <w:rFonts w:ascii="Arial" w:hAnsi="Arial"/>
          <w:color w:val="333333"/>
          <w:sz w:val="21"/>
        </w:rPr>
        <w:t xml:space="preserve"> import each other. They may only import the `IEventBus` interface and event data schema classes.</w:t>
      </w:r>
    </w:p>
    <w:p>
      <w:pPr>
        <w:pStyle w:val="ListNumber"/>
        <w:spacing w:after="60"/>
      </w:pPr>
      <w:r>
        <w:rPr>
          <w:rFonts w:ascii="Arial" w:hAnsi="Arial"/>
          <w:b/>
          <w:color w:val="333333"/>
          <w:sz w:val="21"/>
        </w:rPr>
        <w:t>Stateless Routing:</w:t>
      </w:r>
      <w:r>
        <w:rPr>
          <w:rFonts w:ascii="Arial" w:hAnsi="Arial"/>
          <w:color w:val="333333"/>
          <w:sz w:val="21"/>
        </w:rPr>
        <w:t xml:space="preserve"> The Event Bus does not hold business logic. It strictly routes messages based on Topic string matching.</w:t>
      </w:r>
    </w:p>
    <w:p>
      <w:pPr>
        <w:pStyle w:val="ListNumber"/>
        <w:spacing w:after="60"/>
      </w:pPr>
      <w:r>
        <w:rPr>
          <w:rFonts w:ascii="Arial" w:hAnsi="Arial"/>
          <w:b/>
          <w:color w:val="333333"/>
          <w:sz w:val="21"/>
        </w:rPr>
        <w:t>Encapsulation:</w:t>
      </w:r>
      <w:r>
        <w:rPr>
          <w:rFonts w:ascii="Arial" w:hAnsi="Arial"/>
          <w:color w:val="333333"/>
          <w:sz w:val="21"/>
        </w:rPr>
        <w:t xml:space="preserve"> Subsystems subscribe to topics during initialization and yield control back to the orchestrator.</w:t>
      </w:r>
    </w:p>
    <w:p>
      <w:pPr>
        <w:spacing w:after="120" w:line="276" w:lineRule="auto"/>
      </w:pPr>
      <w:r>
        <w:rPr>
          <w:rFonts w:ascii="Arial" w:hAnsi="Arial"/>
          <w:color w:val="333333"/>
          <w:sz w:val="21"/>
        </w:rPr>
        <w:t>---</w:t>
      </w:r>
    </w:p>
    <w:p>
      <w:pPr>
        <w:keepNext/>
        <w:spacing w:before="360" w:after="160"/>
      </w:pPr>
      <w:r>
        <w:rPr>
          <w:b/>
          <w:color w:val="1B365D"/>
          <w:sz w:val="32"/>
        </w:rPr>
        <w:t>State Machine &amp; Failure Recovery</w:t>
      </w:r>
    </w:p>
    <w:p>
      <w:pPr>
        <w:keepNext/>
        <w:spacing w:before="280" w:after="120"/>
      </w:pPr>
      <w:r>
        <w:rPr>
          <w:b/>
          <w:color w:val="4B6B94"/>
          <w:sz w:val="26"/>
        </w:rPr>
        <w:t>Timeout &amp; Retry Lifecycle</w:t>
      </w:r>
    </w:p>
    <w:p>
      <w:pPr>
        <w:spacing w:after="120" w:line="276" w:lineRule="auto"/>
      </w:pPr>
      <w:r>
        <w:rPr>
          <w:rFonts w:ascii="Arial" w:hAnsi="Arial"/>
          <w:color w:val="333333"/>
          <w:sz w:val="21"/>
        </w:rPr>
        <w:t>Messages routed as RPC requests enter a managed state machine:</w:t>
      </w:r>
    </w:p>
    <w:p>
      <w:pPr>
        <w:spacing w:before="120" w:after="120"/>
        <w:ind w:left="720"/>
        <w:shd w:fill="F5F5F5"/>
      </w:pPr>
      <w:r>
        <w:rPr>
          <w:rFonts w:ascii="Consolas" w:hAnsi="Consolas"/>
          <w:color w:val="4B6B94"/>
          <w:sz w:val="19"/>
        </w:rPr>
        <w:t>stateDiagram-v2</w:t>
        <w:br/>
        <w:t xml:space="preserve">    [*] --&gt; Pending : Request Published</w:t>
        <w:br/>
        <w:t xml:space="preserve">    Pending --&gt; Processing : Delivered to Subscriber</w:t>
        <w:br/>
        <w:t xml:space="preserve">    Processing --&gt; Completed : Response Received</w:t>
        <w:br/>
        <w:t xml:space="preserve">    Processing --&gt; Timeout : Deadline Exceeded</w:t>
        <w:br/>
        <w:t xml:space="preserve">    Processing --&gt; Failed : Subscriber Exception</w:t>
        <w:br/>
        <w:t xml:space="preserve">    Timeout --&gt; DLQ : Retries Exhausted</w:t>
        <w:br/>
        <w:t xml:space="preserve">    Failed --&gt; Pending : Retry Budget &gt; 0</w:t>
        <w:br/>
        <w:t xml:space="preserve">    Failed --&gt; DLQ : Retries Exhausted</w:t>
        <w:br/>
        <w:t xml:space="preserve">    DLQ --&gt; [*]</w:t>
        <w:br/>
        <w:t xml:space="preserve">    Completed --&gt; [*]</w:t>
      </w:r>
    </w:p>
    <w:p>
      <w:pPr>
        <w:keepNext/>
        <w:spacing w:before="280" w:after="120"/>
      </w:pPr>
      <w:r>
        <w:rPr>
          <w:b/>
          <w:color w:val="4B6B94"/>
          <w:sz w:val="26"/>
        </w:rPr>
        <w:t>Failure Recovery Policies</w:t>
      </w:r>
    </w:p>
    <w:p>
      <w:pPr>
        <w:pStyle w:val="ListBullet"/>
        <w:spacing w:after="60"/>
      </w:pPr>
      <w:r>
        <w:rPr>
          <w:rFonts w:ascii="Arial" w:hAnsi="Arial"/>
          <w:color w:val="333333"/>
          <w:sz w:val="21"/>
        </w:rPr>
        <w:t xml:space="preserve">  </w:t>
      </w:r>
      <w:r>
        <w:rPr>
          <w:rFonts w:ascii="Arial" w:hAnsi="Arial"/>
          <w:b/>
          <w:color w:val="333333"/>
          <w:sz w:val="21"/>
        </w:rPr>
        <w:t>Transient Failures (Timeouts/Network):</w:t>
      </w:r>
      <w:r>
        <w:rPr>
          <w:rFonts w:ascii="Arial" w:hAnsi="Arial"/>
          <w:color w:val="333333"/>
          <w:sz w:val="21"/>
        </w:rPr>
        <w:t xml:space="preserve"> Managed by the Event Bus wrapper. The bus automatically resends the event up to `MaxRetries` (default: 3).</w:t>
      </w:r>
    </w:p>
    <w:p>
      <w:pPr>
        <w:pStyle w:val="ListBullet"/>
        <w:spacing w:after="60"/>
      </w:pPr>
      <w:r>
        <w:rPr>
          <w:rFonts w:ascii="Arial" w:hAnsi="Arial"/>
          <w:color w:val="333333"/>
          <w:sz w:val="21"/>
        </w:rPr>
        <w:t xml:space="preserve">  </w:t>
      </w:r>
      <w:r>
        <w:rPr>
          <w:rFonts w:ascii="Arial" w:hAnsi="Arial"/>
          <w:b/>
          <w:color w:val="333333"/>
          <w:sz w:val="21"/>
        </w:rPr>
        <w:t>Terminal Failures (Permission Denied/Invalid Payload):</w:t>
      </w:r>
      <w:r>
        <w:rPr>
          <w:rFonts w:ascii="Arial" w:hAnsi="Arial"/>
          <w:color w:val="333333"/>
          <w:sz w:val="21"/>
        </w:rPr>
        <w:t xml:space="preserve"> Exception payloads are wrapped in an `ErrorResponse` and routed immediately back to the requesting engine (e.g., back to the Planner for re-planning).</w:t>
      </w:r>
    </w:p>
    <w:p>
      <w:pPr>
        <w:pStyle w:val="ListBullet"/>
        <w:spacing w:after="60"/>
      </w:pPr>
      <w:r>
        <w:rPr>
          <w:rFonts w:ascii="Arial" w:hAnsi="Arial"/>
          <w:color w:val="333333"/>
          <w:sz w:val="21"/>
        </w:rPr>
        <w:t xml:space="preserve">  </w:t>
      </w:r>
      <w:r>
        <w:rPr>
          <w:rFonts w:ascii="Arial" w:hAnsi="Arial"/>
          <w:b/>
          <w:color w:val="333333"/>
          <w:sz w:val="21"/>
        </w:rPr>
        <w:t>Dead Letter Queue (DLQ):</w:t>
      </w:r>
      <w:r>
        <w:rPr>
          <w:rFonts w:ascii="Arial" w:hAnsi="Arial"/>
          <w:color w:val="333333"/>
          <w:sz w:val="21"/>
        </w:rPr>
        <w:t xml:space="preserve"> Unroutable messages, or messages that exhaust their retry budgets, are logged to a DLQ topic for metrics analysis and developer debugging.</w:t>
      </w:r>
    </w:p>
    <w:p>
      <w:pPr>
        <w:spacing w:after="120" w:line="276" w:lineRule="auto"/>
      </w:pPr>
      <w:r>
        <w:rPr>
          <w:rFonts w:ascii="Arial" w:hAnsi="Arial"/>
          <w:color w:val="333333"/>
          <w:sz w:val="21"/>
        </w:rPr>
        <w:t>---</w:t>
      </w:r>
    </w:p>
    <w:p>
      <w:pPr>
        <w:keepNext/>
        <w:spacing w:before="360" w:after="160"/>
      </w:pPr>
      <w:r>
        <w:rPr>
          <w:b/>
          <w:color w:val="1B365D"/>
          <w:sz w:val="32"/>
        </w:rPr>
        <w:t>Public Interfaces</w:t>
      </w:r>
    </w:p>
    <w:p>
      <w:pPr>
        <w:spacing w:after="120" w:line="276" w:lineRule="auto"/>
      </w:pPr>
      <w:r>
        <w:rPr>
          <w:rFonts w:ascii="Arial" w:hAnsi="Arial"/>
          <w:color w:val="333333"/>
          <w:sz w:val="21"/>
        </w:rPr>
        <w:t>All underlying implementations must conform to these abstract contracts.</w:t>
      </w:r>
    </w:p>
    <w:p>
      <w:pPr>
        <w:keepNext/>
        <w:spacing w:before="280" w:after="120"/>
      </w:pPr>
      <w:r>
        <w:rPr>
          <w:b/>
          <w:color w:val="4B6B94"/>
          <w:sz w:val="26"/>
        </w:rPr>
        <w:t>1. The Core Event Bus Contract</w:t>
      </w:r>
    </w:p>
    <w:p>
      <w:pPr>
        <w:spacing w:before="120" w:after="120"/>
        <w:ind w:left="720"/>
        <w:shd w:fill="F5F5F5"/>
      </w:pPr>
      <w:r>
        <w:rPr>
          <w:rFonts w:ascii="Consolas" w:hAnsi="Consolas"/>
          <w:color w:val="4B6B94"/>
          <w:sz w:val="19"/>
        </w:rPr>
        <w:t>from abc import ABC, abstractmethod</w:t>
        <w:br/>
        <w:t>from typing import Callable, Any, AsyncGenerator</w:t>
        <w:br/>
        <w:br/>
        <w:t>class IEventBus(ABC):</w:t>
        <w:br/>
        <w:t xml:space="preserve">    @abstractmethod</w:t>
        <w:br/>
        <w:t xml:space="preserve">    async def publish(self, topic: str, payload: dict) -&gt; None:</w:t>
        <w:br/>
        <w:t xml:space="preserve">        """Fire and forget broadcast to all subscribers."""</w:t>
        <w:br/>
        <w:t xml:space="preserve">        pass</w:t>
        <w:br/>
        <w:br/>
        <w:t xml:space="preserve">    @abstractmethod</w:t>
        <w:br/>
        <w:t xml:space="preserve">    async def request(self, topic: str, payload: dict, timeout_sec: float = 30.0) -&gt; dict:</w:t>
        <w:br/>
        <w:t xml:space="preserve">        """Blocking RPC request awaiting a single correlated response."""</w:t>
        <w:br/>
        <w:t xml:space="preserve">        pass</w:t>
        <w:br/>
        <w:br/>
        <w:t xml:space="preserve">    @abstractmethod</w:t>
        <w:br/>
        <w:t xml:space="preserve">    def subscribe(self, topic: str, handler: Callable[[dict], Any]) -&gt; None:</w:t>
        <w:br/>
        <w:t xml:space="preserve">        """Register a handler for a specific topic."""</w:t>
        <w:br/>
        <w:t xml:space="preserve">        pass</w:t>
        <w:br/>
        <w:br/>
        <w:t xml:space="preserve">    @abstractmethod</w:t>
        <w:br/>
        <w:t xml:space="preserve">    async def stream(self, topic: str, generator: AsyncGenerator[dict, None]) -&gt; None:</w:t>
        <w:br/>
        <w:t xml:space="preserve">        """Publish a continuous stream of data chunks to a topic."""</w:t>
        <w:br/>
        <w:t xml:space="preserve">        pass</w:t>
      </w:r>
    </w:p>
    <w:p>
      <w:pPr>
        <w:keepNext/>
        <w:spacing w:before="280" w:after="120"/>
      </w:pPr>
      <w:r>
        <w:rPr>
          <w:b/>
          <w:color w:val="4B6B94"/>
          <w:sz w:val="26"/>
        </w:rPr>
        <w:t>2. The Cancellation Token</w:t>
      </w:r>
    </w:p>
    <w:p>
      <w:pPr>
        <w:spacing w:before="120" w:after="120"/>
        <w:ind w:left="720"/>
        <w:shd w:fill="F5F5F5"/>
      </w:pPr>
      <w:r>
        <w:rPr>
          <w:rFonts w:ascii="Consolas" w:hAnsi="Consolas"/>
          <w:color w:val="4B6B94"/>
          <w:sz w:val="19"/>
        </w:rPr>
        <w:t>class CancellationToken:</w:t>
        <w:br/>
        <w:t xml:space="preserve">    def __init__(self):</w:t>
        <w:br/>
        <w:t xml:space="preserve">        self.is_cancelled = False</w:t>
        <w:br/>
        <w:t xml:space="preserve">    </w:t>
        <w:br/>
        <w:t xml:space="preserve">    def cancel(self):</w:t>
        <w:br/>
        <w:t xml:space="preserve">        self.is_cancelled = True</w:t>
        <w:br/>
        <w:t xml:space="preserve">        </w:t>
        <w:br/>
        <w:t xml:space="preserve">    def check(self):</w:t>
        <w:br/>
        <w:t xml:space="preserve">        if self.is_cancelled:</w:t>
        <w:br/>
        <w:t xml:space="preserve">            raise ActionCancelledException("Execution aborted by user or system timeout.")</w:t>
      </w:r>
    </w:p>
    <w:p>
      <w:pPr>
        <w:spacing w:after="120" w:line="276" w:lineRule="auto"/>
      </w:pPr>
      <w:r>
        <w:rPr>
          <w:rFonts w:ascii="Arial" w:hAnsi="Arial"/>
          <w:color w:val="333333"/>
          <w:sz w:val="21"/>
        </w:rPr>
        <w:t>---</w:t>
      </w:r>
    </w:p>
    <w:p>
      <w:pPr>
        <w:keepNext/>
        <w:spacing w:before="360" w:after="160"/>
      </w:pPr>
      <w:r>
        <w:rPr>
          <w:b/>
          <w:color w:val="1B365D"/>
          <w:sz w:val="32"/>
        </w:rPr>
        <w:t>Message Envelope Schema</w:t>
      </w:r>
    </w:p>
    <w:p>
      <w:pPr>
        <w:spacing w:after="120" w:line="276" w:lineRule="auto"/>
      </w:pPr>
      <w:r>
        <w:rPr>
          <w:rFonts w:ascii="Arial" w:hAnsi="Arial"/>
          <w:color w:val="333333"/>
          <w:sz w:val="21"/>
        </w:rPr>
        <w:t>All messages passed through the `IEventBus` must conform to a standardized JSON-serializable envelope schema:</w:t>
      </w:r>
    </w:p>
    <w:p>
      <w:pPr>
        <w:spacing w:before="120" w:after="120"/>
        <w:ind w:left="720"/>
        <w:shd w:fill="F5F5F5"/>
      </w:pPr>
      <w:r>
        <w:rPr>
          <w:rFonts w:ascii="Consolas" w:hAnsi="Consolas"/>
          <w:color w:val="4B6B94"/>
          <w:sz w:val="19"/>
        </w:rPr>
        <w:t>{</w:t>
        <w:br/>
        <w:t xml:space="preserve">  "EventID": "uuid-v4",</w:t>
        <w:br/>
        <w:t xml:space="preserve">  "CorrelationID": "uuid-v4-optional",</w:t>
        <w:br/>
        <w:t xml:space="preserve">  "Topic": "Domain.Action.Target",</w:t>
        <w:br/>
        <w:t xml:space="preserve">  "Source": "EngineName",</w:t>
        <w:br/>
        <w:t xml:space="preserve">  "Timestamp": "ISO-8601",</w:t>
        <w:br/>
        <w:t xml:space="preserve">  "TimeoutMs": 5000,</w:t>
        <w:br/>
        <w:t xml:space="preserve">  "Payload": {</w:t>
        <w:br/>
        <w:t xml:space="preserve">    "key": "value"</w:t>
        <w:br/>
        <w:t xml:space="preserve">  },</w:t>
        <w:br/>
        <w:t xml:space="preserve">  "TraceContext": {</w:t>
        <w:br/>
        <w:t xml:space="preserve">    "span_id": "uuid"</w:t>
        <w:br/>
        <w:t xml:space="preserve">  }</w:t>
        <w:br/>
        <w:t>}</w:t>
      </w:r>
    </w:p>
    <w:p>
      <w:pPr>
        <w:spacing w:after="120" w:line="276" w:lineRule="auto"/>
      </w:pPr>
      <w:r>
        <w:rPr>
          <w:rFonts w:ascii="Arial" w:hAnsi="Arial"/>
          <w:color w:val="333333"/>
          <w:sz w:val="21"/>
        </w:rPr>
        <w:t>---</w:t>
      </w:r>
    </w:p>
    <w:p>
      <w:pPr>
        <w:keepNext/>
        <w:spacing w:before="360" w:after="160"/>
      </w:pPr>
      <w:r>
        <w:rPr>
          <w:b/>
          <w:color w:val="1B365D"/>
          <w:sz w:val="32"/>
        </w:rPr>
        <w:t>ADR Recommendations</w:t>
      </w:r>
    </w:p>
    <w:p>
      <w:pPr>
        <w:spacing w:after="120" w:line="276" w:lineRule="auto"/>
      </w:pPr>
      <w:r>
        <w:rPr>
          <w:rFonts w:ascii="Arial" w:hAnsi="Arial"/>
          <w:color w:val="333333"/>
          <w:sz w:val="21"/>
        </w:rPr>
        <w:t>To solidify the implementation details of this framework, the following Architecture Decision Records (ADRs) are recommended for drafting:</w:t>
      </w:r>
    </w:p>
    <w:p>
      <w:pPr>
        <w:spacing w:after="120" w:line="276" w:lineRule="auto"/>
      </w:pPr>
      <w:r>
        <w:rPr>
          <w:rFonts w:ascii="Arial" w:hAnsi="Arial"/>
          <w:color w:val="333333"/>
          <w:sz w:val="21"/>
        </w:rPr>
        <w:t>&gt; [!TIP]</w:t>
      </w:r>
    </w:p>
    <w:p>
      <w:pPr>
        <w:spacing w:after="120" w:line="276" w:lineRule="auto"/>
      </w:pPr>
      <w:r>
        <w:rPr>
          <w:rFonts w:ascii="Arial" w:hAnsi="Arial"/>
          <w:color w:val="333333"/>
          <w:sz w:val="21"/>
        </w:rPr>
        <w:t xml:space="preserve">&gt; </w:t>
      </w:r>
      <w:r>
        <w:rPr>
          <w:rFonts w:ascii="Arial" w:hAnsi="Arial"/>
          <w:b/>
          <w:color w:val="333333"/>
          <w:sz w:val="21"/>
        </w:rPr>
        <w:t>Suggested ADRs to Draft for Implementation Phase:</w:t>
      </w:r>
    </w:p>
    <w:p>
      <w:pPr>
        <w:pStyle w:val="ListNumber"/>
        <w:spacing w:after="60"/>
      </w:pPr>
      <w:r>
        <w:rPr>
          <w:rFonts w:ascii="Arial" w:hAnsi="Arial"/>
          <w:b/>
          <w:color w:val="333333"/>
          <w:sz w:val="21"/>
        </w:rPr>
        <w:t>NOVA-ADR-013: Event Bus Technology Selection</w:t>
      </w:r>
    </w:p>
    <w:p>
      <w:pPr>
        <w:pStyle w:val="ListBullet"/>
        <w:spacing w:after="60"/>
      </w:pPr>
      <w:r>
        <w:rPr>
          <w:rFonts w:ascii="Arial" w:hAnsi="Arial"/>
          <w:color w:val="333333"/>
          <w:sz w:val="21"/>
        </w:rPr>
        <w:t xml:space="preserve">  </w:t>
      </w:r>
      <w:r>
        <w:rPr>
          <w:rFonts w:ascii="Arial" w:hAnsi="Arial"/>
          <w:i/>
          <w:color w:val="333333"/>
          <w:sz w:val="21"/>
        </w:rPr>
        <w:t>Context:</w:t>
      </w:r>
      <w:r>
        <w:rPr>
          <w:rFonts w:ascii="Arial" w:hAnsi="Arial"/>
          <w:color w:val="333333"/>
          <w:sz w:val="21"/>
        </w:rPr>
        <w:t xml:space="preserve"> The `IEventBus` needs a concrete implementation.</w:t>
      </w:r>
    </w:p>
    <w:p>
      <w:pPr>
        <w:pStyle w:val="ListBullet"/>
        <w:spacing w:after="60"/>
      </w:pPr>
      <w:r>
        <w:rPr>
          <w:rFonts w:ascii="Arial" w:hAnsi="Arial"/>
          <w:color w:val="333333"/>
          <w:sz w:val="21"/>
        </w:rPr>
        <w:t xml:space="preserve">  </w:t>
      </w:r>
      <w:r>
        <w:rPr>
          <w:rFonts w:ascii="Arial" w:hAnsi="Arial"/>
          <w:i/>
          <w:color w:val="333333"/>
          <w:sz w:val="21"/>
        </w:rPr>
        <w:t>Recommendation:</w:t>
      </w:r>
      <w:r>
        <w:rPr>
          <w:rFonts w:ascii="Arial" w:hAnsi="Arial"/>
          <w:color w:val="333333"/>
          <w:sz w:val="21"/>
        </w:rPr>
        <w:t xml:space="preserve"> Use Python `asyncio.Queue` and `asyncio.Event` for the V1 single-node release to minimize dependencies, but ensure the `IEventBus` interface is robust enough to swap to `Redis Pub/Sub` or `RabbitMQ` when transitioning to distributed architectures.</w:t>
      </w:r>
    </w:p>
    <w:p>
      <w:pPr>
        <w:pStyle w:val="ListNumber"/>
        <w:spacing w:after="60"/>
      </w:pPr>
      <w:r>
        <w:rPr>
          <w:rFonts w:ascii="Arial" w:hAnsi="Arial"/>
          <w:b/>
          <w:color w:val="333333"/>
          <w:sz w:val="21"/>
        </w:rPr>
        <w:t>NOVA-ADR-014: Message Serialization Format</w:t>
      </w:r>
    </w:p>
    <w:p>
      <w:pPr>
        <w:pStyle w:val="ListBullet"/>
        <w:spacing w:after="60"/>
      </w:pPr>
      <w:r>
        <w:rPr>
          <w:rFonts w:ascii="Arial" w:hAnsi="Arial"/>
          <w:color w:val="333333"/>
          <w:sz w:val="21"/>
        </w:rPr>
        <w:t xml:space="preserve">  </w:t>
      </w:r>
      <w:r>
        <w:rPr>
          <w:rFonts w:ascii="Arial" w:hAnsi="Arial"/>
          <w:i/>
          <w:color w:val="333333"/>
          <w:sz w:val="21"/>
        </w:rPr>
        <w:t>Context:</w:t>
      </w:r>
      <w:r>
        <w:rPr>
          <w:rFonts w:ascii="Arial" w:hAnsi="Arial"/>
          <w:color w:val="333333"/>
          <w:sz w:val="21"/>
        </w:rPr>
        <w:t xml:space="preserve"> Data passed between nodes must be serialized.</w:t>
      </w:r>
    </w:p>
    <w:p>
      <w:pPr>
        <w:pStyle w:val="ListBullet"/>
        <w:spacing w:after="60"/>
      </w:pPr>
      <w:r>
        <w:rPr>
          <w:rFonts w:ascii="Arial" w:hAnsi="Arial"/>
          <w:color w:val="333333"/>
          <w:sz w:val="21"/>
        </w:rPr>
        <w:t xml:space="preserve">  </w:t>
      </w:r>
      <w:r>
        <w:rPr>
          <w:rFonts w:ascii="Arial" w:hAnsi="Arial"/>
          <w:i/>
          <w:color w:val="333333"/>
          <w:sz w:val="21"/>
        </w:rPr>
        <w:t>Recommendation:</w:t>
      </w:r>
      <w:r>
        <w:rPr>
          <w:rFonts w:ascii="Arial" w:hAnsi="Arial"/>
          <w:color w:val="333333"/>
          <w:sz w:val="21"/>
        </w:rPr>
        <w:t xml:space="preserve"> Standardize on `JSON` (via `pydantic` models) for V1 human-readability and rapid prototyping. Reserve Protobuf/gRPC strictly for high-throughput binary streams (e.g., raw desktop video streaming).</w:t>
      </w:r>
    </w:p>
    <w:p>
      <w:pPr>
        <w:pStyle w:val="ListNumber"/>
        <w:spacing w:after="60"/>
      </w:pPr>
      <w:r>
        <w:rPr>
          <w:rFonts w:ascii="Arial" w:hAnsi="Arial"/>
          <w:b/>
          <w:color w:val="333333"/>
          <w:sz w:val="21"/>
        </w:rPr>
        <w:t>NOVA-ADR-015: Stream Processing Model</w:t>
      </w:r>
    </w:p>
    <w:p>
      <w:pPr>
        <w:pStyle w:val="ListBullet"/>
        <w:spacing w:after="60"/>
      </w:pPr>
      <w:r>
        <w:rPr>
          <w:rFonts w:ascii="Arial" w:hAnsi="Arial"/>
          <w:color w:val="333333"/>
          <w:sz w:val="21"/>
        </w:rPr>
        <w:t xml:space="preserve">  </w:t>
      </w:r>
      <w:r>
        <w:rPr>
          <w:rFonts w:ascii="Arial" w:hAnsi="Arial"/>
          <w:i/>
          <w:color w:val="333333"/>
          <w:sz w:val="21"/>
        </w:rPr>
        <w:t>Context:</w:t>
      </w:r>
      <w:r>
        <w:rPr>
          <w:rFonts w:ascii="Arial" w:hAnsi="Arial"/>
          <w:color w:val="333333"/>
          <w:sz w:val="21"/>
        </w:rPr>
        <w:t xml:space="preserve"> Voice processing and screen observation require continuous data chunks.</w:t>
      </w:r>
    </w:p>
    <w:p>
      <w:pPr>
        <w:pStyle w:val="ListBullet"/>
        <w:spacing w:after="60"/>
      </w:pPr>
      <w:r>
        <w:rPr>
          <w:rFonts w:ascii="Arial" w:hAnsi="Arial"/>
          <w:color w:val="333333"/>
          <w:sz w:val="21"/>
        </w:rPr>
        <w:t xml:space="preserve">  </w:t>
      </w:r>
      <w:r>
        <w:rPr>
          <w:rFonts w:ascii="Arial" w:hAnsi="Arial"/>
          <w:i/>
          <w:color w:val="333333"/>
          <w:sz w:val="21"/>
        </w:rPr>
        <w:t>Recommendation:</w:t>
      </w:r>
      <w:r>
        <w:rPr>
          <w:rFonts w:ascii="Arial" w:hAnsi="Arial"/>
          <w:color w:val="333333"/>
          <w:sz w:val="21"/>
        </w:rPr>
        <w:t xml:space="preserve"> Use standard `AsyncGenerator` yielding structures for local streams. For distributed capabilities, map these to WebSockets.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