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jc w:val="center"/>
      </w:pPr>
      <w:r>
        <w:rPr>
          <w:b/>
          <w:color w:val="1B365D"/>
          <w:sz w:val="44"/>
        </w:rPr>
        <w:t>Project NOVA System Architecture</w:t>
      </w:r>
    </w:p>
    <w:p>
      <w:pPr>
        <w:keepNext/>
        <w:spacing w:before="360" w:after="160"/>
      </w:pPr>
      <w:r>
        <w:rPr>
          <w:b/>
          <w:color w:val="1B365D"/>
          <w:sz w:val="32"/>
        </w:rPr>
        <w:t>Capability Framework Specification</w:t>
      </w:r>
    </w:p>
    <w:p>
      <w:pPr>
        <w:spacing w:after="120" w:line="276" w:lineRule="auto"/>
      </w:pPr>
      <w:r>
        <w:rPr>
          <w:rFonts w:ascii="Arial" w:hAnsi="Arial"/>
          <w:color w:val="333333"/>
          <w:sz w:val="21"/>
        </w:rPr>
        <w:t>---</w:t>
      </w:r>
    </w:p>
    <w:tbl>
      <w:tblPr>
        <w:tblW w:type="auto" w:w="0"/>
        <w:tblLayout w:type="fixed"/>
        <w:tblLook w:firstColumn="1" w:firstRow="1" w:lastColumn="0" w:lastRow="0" w:noHBand="0" w:noVBand="1" w:val="04A0"/>
      </w:tblPr>
      <w:tblGrid>
        <w:gridCol w:w="4680"/>
        <w:gridCol w:w="4680"/>
      </w:tblGrid>
      <w:tr>
        <w:tc>
          <w:tcPr>
            <w:tcW w:type="dxa" w:w="4680"/>
            <w:shd w:fill="1B365D"/>
            <w:tcMar>
              <w:top w:w="120" w:type="dxa"/>
              <w:bottom w:w="120" w:type="dxa"/>
              <w:left w:w="150" w:type="dxa"/>
              <w:right w:w="150" w:type="dxa"/>
            </w:tcMar>
          </w:tcPr>
          <w:p>
            <w:r>
              <w:rPr>
                <w:rFonts w:ascii="Arial" w:hAnsi="Arial"/>
                <w:b/>
                <w:color w:val="FFFFFF"/>
                <w:sz w:val="20"/>
              </w:rPr>
              <w:t>Field</w:t>
            </w:r>
          </w:p>
        </w:tc>
        <w:tc>
          <w:tcPr>
            <w:tcW w:type="dxa" w:w="4680"/>
            <w:shd w:fill="1B365D"/>
            <w:tcMar>
              <w:top w:w="120" w:type="dxa"/>
              <w:bottom w:w="120" w:type="dxa"/>
              <w:left w:w="150" w:type="dxa"/>
              <w:right w:w="150" w:type="dxa"/>
            </w:tcMar>
          </w:tcPr>
          <w:p>
            <w:r>
              <w:rPr>
                <w:rFonts w:ascii="Arial" w:hAnsi="Arial"/>
                <w:b/>
                <w:color w:val="FFFFFF"/>
                <w:sz w:val="20"/>
              </w:rPr>
              <w:t>Value</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**Document ID**</w:t>
            </w:r>
          </w:p>
        </w:tc>
        <w:tc>
          <w:tcPr>
            <w:tcW w:type="dxa" w:w="4680"/>
            <w:shd w:fill="FFFFFF"/>
            <w:tcMar>
              <w:top w:w="100" w:type="dxa"/>
              <w:bottom w:w="100" w:type="dxa"/>
              <w:left w:w="150" w:type="dxa"/>
              <w:right w:w="150" w:type="dxa"/>
            </w:tcMar>
          </w:tcPr>
          <w:p>
            <w:pPr>
              <w:spacing w:after="40"/>
            </w:pPr>
            <w:r>
              <w:rPr>
                <w:rFonts w:ascii="Arial" w:hAnsi="Arial"/>
                <w:color w:val="333333"/>
                <w:sz w:val="19"/>
              </w:rPr>
              <w:t>NOVA-SPEC-011</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**Version**</w:t>
            </w:r>
          </w:p>
        </w:tc>
        <w:tc>
          <w:tcPr>
            <w:tcW w:type="dxa" w:w="4680"/>
            <w:shd w:fill="F9FBFD"/>
            <w:tcMar>
              <w:top w:w="100" w:type="dxa"/>
              <w:bottom w:w="100" w:type="dxa"/>
              <w:left w:w="150" w:type="dxa"/>
              <w:right w:w="150" w:type="dxa"/>
            </w:tcMar>
          </w:tcPr>
          <w:p>
            <w:pPr>
              <w:spacing w:after="40"/>
            </w:pPr>
            <w:r>
              <w:rPr>
                <w:rFonts w:ascii="Arial" w:hAnsi="Arial"/>
                <w:color w:val="333333"/>
                <w:sz w:val="19"/>
              </w:rPr>
              <w:t>1.0</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**Status**</w:t>
            </w:r>
          </w:p>
        </w:tc>
        <w:tc>
          <w:tcPr>
            <w:tcW w:type="dxa" w:w="4680"/>
            <w:shd w:fill="FFFFFF"/>
            <w:tcMar>
              <w:top w:w="100" w:type="dxa"/>
              <w:bottom w:w="100" w:type="dxa"/>
              <w:left w:w="150" w:type="dxa"/>
              <w:right w:w="150" w:type="dxa"/>
            </w:tcMar>
          </w:tcPr>
          <w:p>
            <w:pPr>
              <w:spacing w:after="40"/>
            </w:pPr>
            <w:r>
              <w:rPr>
                <w:rFonts w:ascii="Arial" w:hAnsi="Arial"/>
                <w:color w:val="333333"/>
                <w:sz w:val="19"/>
              </w:rPr>
              <w:t>`APPROVED - DESIGN FROZEN`</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**Owner**</w:t>
            </w:r>
          </w:p>
        </w:tc>
        <w:tc>
          <w:tcPr>
            <w:tcW w:type="dxa" w:w="4680"/>
            <w:shd w:fill="F9FBFD"/>
            <w:tcMar>
              <w:top w:w="100" w:type="dxa"/>
              <w:bottom w:w="100" w:type="dxa"/>
              <w:left w:w="150" w:type="dxa"/>
              <w:right w:w="150" w:type="dxa"/>
            </w:tcMar>
          </w:tcPr>
          <w:p>
            <w:pPr>
              <w:spacing w:after="40"/>
            </w:pPr>
            <w:r>
              <w:rPr>
                <w:rFonts w:ascii="Arial" w:hAnsi="Arial"/>
                <w:color w:val="333333"/>
                <w:sz w:val="19"/>
              </w:rPr>
              <w:t>Lead Software Engineer</w:t>
            </w:r>
          </w:p>
        </w:tc>
      </w:tr>
      <w:tr>
        <w:tc>
          <w:tcPr>
            <w:tcW w:type="dxa" w:w="4680"/>
            <w:shd w:fill="FFFFFF"/>
            <w:tcMar>
              <w:top w:w="100" w:type="dxa"/>
              <w:bottom w:w="100" w:type="dxa"/>
              <w:left w:w="150" w:type="dxa"/>
              <w:right w:w="150" w:type="dxa"/>
            </w:tcMar>
          </w:tcPr>
          <w:p>
            <w:pPr>
              <w:spacing w:after="40"/>
            </w:pPr>
            <w:r>
              <w:rPr>
                <w:rFonts w:ascii="Arial" w:hAnsi="Arial"/>
                <w:color w:val="333333"/>
                <w:sz w:val="19"/>
              </w:rPr>
              <w:t>**Dependencies**</w:t>
            </w:r>
          </w:p>
        </w:tc>
        <w:tc>
          <w:tcPr>
            <w:tcW w:type="dxa" w:w="4680"/>
            <w:shd w:fill="FFFFFF"/>
            <w:tcMar>
              <w:top w:w="100" w:type="dxa"/>
              <w:bottom w:w="100" w:type="dxa"/>
              <w:left w:w="150" w:type="dxa"/>
              <w:right w:w="150" w:type="dxa"/>
            </w:tcMar>
          </w:tcPr>
          <w:p>
            <w:pPr>
              <w:spacing w:after="40"/>
            </w:pPr>
            <w:r>
              <w:rPr>
                <w:rFonts w:ascii="Arial" w:hAnsi="Arial"/>
                <w:color w:val="333333"/>
                <w:sz w:val="19"/>
              </w:rPr>
              <w:t>NOVA-SPEC-003, NOVA-SPEC-009</w:t>
            </w:r>
          </w:p>
        </w:tc>
      </w:tr>
      <w:tr>
        <w:tc>
          <w:tcPr>
            <w:tcW w:type="dxa" w:w="4680"/>
            <w:shd w:fill="F9FBFD"/>
            <w:tcMar>
              <w:top w:w="100" w:type="dxa"/>
              <w:bottom w:w="100" w:type="dxa"/>
              <w:left w:w="150" w:type="dxa"/>
              <w:right w:w="150" w:type="dxa"/>
            </w:tcMar>
          </w:tcPr>
          <w:p>
            <w:pPr>
              <w:spacing w:after="40"/>
            </w:pPr>
            <w:r>
              <w:rPr>
                <w:rFonts w:ascii="Arial" w:hAnsi="Arial"/>
                <w:color w:val="333333"/>
                <w:sz w:val="19"/>
              </w:rPr>
              <w:t>**Revision History**</w:t>
            </w:r>
          </w:p>
        </w:tc>
        <w:tc>
          <w:tcPr>
            <w:tcW w:type="dxa" w:w="4680"/>
            <w:shd w:fill="F9FBFD"/>
            <w:tcMar>
              <w:top w:w="100" w:type="dxa"/>
              <w:bottom w:w="100" w:type="dxa"/>
              <w:left w:w="150" w:type="dxa"/>
              <w:right w:w="150" w:type="dxa"/>
            </w:tcMar>
          </w:tcPr>
          <w:p>
            <w:pPr>
              <w:spacing w:after="40"/>
            </w:pPr>
            <w:r>
              <w:rPr>
                <w:rFonts w:ascii="Arial" w:hAnsi="Arial"/>
                <w:color w:val="333333"/>
                <w:sz w:val="19"/>
              </w:rPr>
              <w:t>v1.0 Initial Framework Design</w:t>
            </w:r>
          </w:p>
        </w:tc>
      </w:tr>
    </w:tbl>
    <w:p>
      <w:pPr>
        <w:spacing w:before="240" w:after="0"/>
      </w:pPr>
    </w:p>
    <w:p>
      <w:pPr>
        <w:spacing w:after="120" w:line="276" w:lineRule="auto"/>
      </w:pPr>
      <w:r>
        <w:rPr>
          <w:rFonts w:ascii="Arial" w:hAnsi="Arial"/>
          <w:color w:val="333333"/>
          <w:sz w:val="21"/>
        </w:rPr>
        <w:t>---</w:t>
      </w:r>
    </w:p>
    <w:p>
      <w:pPr>
        <w:keepNext/>
        <w:spacing w:before="360" w:after="160"/>
      </w:pPr>
      <w:r>
        <w:rPr>
          <w:b/>
          <w:color w:val="1B365D"/>
          <w:sz w:val="32"/>
        </w:rPr>
        <w:t>Executive Summary</w:t>
      </w:r>
    </w:p>
    <w:p>
      <w:pPr>
        <w:spacing w:after="120" w:line="276" w:lineRule="auto"/>
      </w:pPr>
      <w:r>
        <w:rPr>
          <w:rFonts w:ascii="Arial" w:hAnsi="Arial"/>
          <w:color w:val="333333"/>
          <w:sz w:val="21"/>
        </w:rPr>
        <w:t>The Capability Framework is the standardized lifecycle and architectural contract for extending the Project NOVA platform. The Kernel knows nothing about concrete capabilities (e.g., Vision, Desktop, Browser). It interacts exclusively with the abstract `ICapability` interface defined in this document.</w:t>
      </w:r>
    </w:p>
    <w:p>
      <w:pPr>
        <w:spacing w:after="120" w:line="276" w:lineRule="auto"/>
      </w:pPr>
      <w:r>
        <w:rPr>
          <w:rFonts w:ascii="Arial" w:hAnsi="Arial"/>
          <w:color w:val="333333"/>
          <w:sz w:val="21"/>
        </w:rPr>
        <w:t>---</w:t>
      </w:r>
    </w:p>
    <w:p>
      <w:pPr>
        <w:keepNext/>
        <w:spacing w:before="360" w:after="160"/>
      </w:pPr>
      <w:r>
        <w:rPr>
          <w:b/>
          <w:color w:val="1B365D"/>
          <w:sz w:val="32"/>
        </w:rPr>
        <w:t>1. Capability Contract</w:t>
      </w:r>
    </w:p>
    <w:p>
      <w:pPr>
        <w:spacing w:after="120" w:line="276" w:lineRule="auto"/>
      </w:pPr>
      <w:r>
        <w:rPr>
          <w:rFonts w:ascii="Arial" w:hAnsi="Arial"/>
          <w:color w:val="333333"/>
          <w:sz w:val="21"/>
        </w:rPr>
        <w:t>Every capability must strictly adhere to the following responsibilities:</w:t>
      </w:r>
    </w:p>
    <w:p>
      <w:pPr>
        <w:pStyle w:val="ListNumber"/>
        <w:spacing w:after="60"/>
      </w:pPr>
      <w:r>
        <w:rPr>
          <w:rFonts w:ascii="Arial" w:hAnsi="Arial"/>
          <w:b/>
          <w:color w:val="333333"/>
          <w:sz w:val="21"/>
        </w:rPr>
        <w:t>Isolation:</w:t>
      </w:r>
      <w:r>
        <w:rPr>
          <w:rFonts w:ascii="Arial" w:hAnsi="Arial"/>
          <w:color w:val="333333"/>
          <w:sz w:val="21"/>
        </w:rPr>
        <w:t xml:space="preserve"> A capability must encapsulate its own domain. (e.g., Vision Capability does not control the mouse).</w:t>
      </w:r>
    </w:p>
    <w:p>
      <w:pPr>
        <w:pStyle w:val="ListNumber"/>
        <w:spacing w:after="60"/>
      </w:pPr>
      <w:r>
        <w:rPr>
          <w:rFonts w:ascii="Arial" w:hAnsi="Arial"/>
          <w:b/>
          <w:color w:val="333333"/>
          <w:sz w:val="21"/>
        </w:rPr>
        <w:t>Stateless Execution:</w:t>
      </w:r>
      <w:r>
        <w:rPr>
          <w:rFonts w:ascii="Arial" w:hAnsi="Arial"/>
          <w:color w:val="333333"/>
          <w:sz w:val="21"/>
        </w:rPr>
        <w:t xml:space="preserve"> The `execute()` method must be idempotent and stateless where possible. State must be relegated to the Memory Capability.</w:t>
      </w:r>
    </w:p>
    <w:p>
      <w:pPr>
        <w:pStyle w:val="ListNumber"/>
        <w:spacing w:after="60"/>
      </w:pPr>
      <w:r>
        <w:rPr>
          <w:rFonts w:ascii="Arial" w:hAnsi="Arial"/>
          <w:b/>
          <w:color w:val="333333"/>
          <w:sz w:val="21"/>
        </w:rPr>
        <w:t>Event-Driven:</w:t>
      </w:r>
      <w:r>
        <w:rPr>
          <w:rFonts w:ascii="Arial" w:hAnsi="Arial"/>
          <w:color w:val="333333"/>
          <w:sz w:val="21"/>
        </w:rPr>
        <w:t xml:space="preserve"> Capabilities must communicate exclusively via the `IEventBus`. Direct method invocation between capabilities is strictly prohibited.</w:t>
      </w:r>
    </w:p>
    <w:p>
      <w:pPr>
        <w:spacing w:after="120" w:line="276" w:lineRule="auto"/>
      </w:pPr>
      <w:r>
        <w:rPr>
          <w:rFonts w:ascii="Arial" w:hAnsi="Arial"/>
          <w:color w:val="333333"/>
          <w:sz w:val="21"/>
        </w:rPr>
        <w:t>---</w:t>
      </w:r>
    </w:p>
    <w:p>
      <w:pPr>
        <w:keepNext/>
        <w:spacing w:before="360" w:after="160"/>
      </w:pPr>
      <w:r>
        <w:rPr>
          <w:b/>
          <w:color w:val="1B365D"/>
          <w:sz w:val="32"/>
        </w:rPr>
        <w:t>2. Capability Lifecycle State Machine</w:t>
      </w:r>
    </w:p>
    <w:p>
      <w:pPr>
        <w:spacing w:after="120" w:line="276" w:lineRule="auto"/>
      </w:pPr>
      <w:r>
        <w:rPr>
          <w:rFonts w:ascii="Arial" w:hAnsi="Arial"/>
          <w:color w:val="333333"/>
          <w:sz w:val="21"/>
        </w:rPr>
        <w:t>A capability transitions through a rigid state machine managed by the `CapabilityRegistry`.</w:t>
      </w:r>
    </w:p>
    <w:p>
      <w:pPr>
        <w:spacing w:before="120" w:after="120"/>
        <w:ind w:left="720"/>
        <w:shd w:fill="F5F5F5"/>
      </w:pPr>
      <w:r>
        <w:rPr>
          <w:rFonts w:ascii="Consolas" w:hAnsi="Consolas"/>
          <w:color w:val="4B6B94"/>
          <w:sz w:val="19"/>
        </w:rPr>
        <w:t>stateDiagram-v2</w:t>
        <w:br/>
        <w:t xml:space="preserve">    [*] --&gt; Created : Instantiated</w:t>
        <w:br/>
        <w:t xml:space="preserve">    Created --&gt; Registered : Manifest Validated</w:t>
        <w:br/>
        <w:t xml:space="preserve">    Registered --&gt; Initialized : Dependencies Injected</w:t>
        <w:br/>
        <w:t xml:space="preserve">    Initialized --&gt; Started : Event Subscriptions Bind</w:t>
        <w:br/>
        <w:t xml:space="preserve">    Started --&gt; Healthy : Health Check Passed</w:t>
        <w:br/>
        <w:t xml:space="preserve">    </w:t>
        <w:br/>
        <w:t xml:space="preserve">    Healthy --&gt; Executing : Request Received</w:t>
        <w:br/>
        <w:t xml:space="preserve">    Executing --&gt; Healthy : Response Returned</w:t>
        <w:br/>
        <w:t xml:space="preserve">    </w:t>
        <w:br/>
        <w:t xml:space="preserve">    Healthy --&gt; Paused : Admin/System Sleep</w:t>
        <w:br/>
        <w:t xml:space="preserve">    Paused --&gt; Healthy : System Wake</w:t>
        <w:br/>
        <w:t xml:space="preserve">    </w:t>
        <w:br/>
        <w:t xml:space="preserve">    Healthy --&gt; Stopped : Teardown Requested</w:t>
        <w:br/>
        <w:t xml:space="preserve">    Stopped --&gt; Shutdown : Resources Freed</w:t>
        <w:br/>
        <w:t xml:space="preserve">    Shutdown --&gt; [*]</w:t>
        <w:br/>
        <w:t xml:space="preserve">    </w:t>
        <w:br/>
        <w:t xml:space="preserve">    Executing --&gt; Stopped : Fatal Error</w:t>
      </w:r>
    </w:p>
    <w:p>
      <w:pPr>
        <w:spacing w:after="120" w:line="276" w:lineRule="auto"/>
      </w:pPr>
      <w:r>
        <w:rPr>
          <w:rFonts w:ascii="Arial" w:hAnsi="Arial"/>
          <w:color w:val="333333"/>
          <w:sz w:val="21"/>
        </w:rPr>
        <w:t>---</w:t>
      </w:r>
    </w:p>
    <w:p>
      <w:pPr>
        <w:keepNext/>
        <w:spacing w:before="360" w:after="160"/>
      </w:pPr>
      <w:r>
        <w:rPr>
          <w:b/>
          <w:color w:val="1B365D"/>
          <w:sz w:val="32"/>
        </w:rPr>
        <w:t>3. Registration &amp; Discovery Flow</w:t>
      </w:r>
    </w:p>
    <w:p>
      <w:pPr>
        <w:spacing w:after="120" w:line="276" w:lineRule="auto"/>
      </w:pPr>
      <w:r>
        <w:rPr>
          <w:rFonts w:ascii="Arial" w:hAnsi="Arial"/>
          <w:color w:val="333333"/>
          <w:sz w:val="21"/>
        </w:rPr>
        <w:t>The Kernel discovers capabilities by parsing `manifest.json` files in the `plugins/` directory.</w:t>
      </w:r>
    </w:p>
    <w:p>
      <w:pPr>
        <w:spacing w:before="120" w:after="120"/>
        <w:ind w:left="720"/>
        <w:shd w:fill="F5F5F5"/>
      </w:pPr>
      <w:r>
        <w:rPr>
          <w:rFonts w:ascii="Consolas" w:hAnsi="Consolas"/>
          <w:color w:val="4B6B94"/>
          <w:sz w:val="19"/>
        </w:rPr>
        <w:t>sequenceDiagram</w:t>
        <w:br/>
        <w:t xml:space="preserve">    participant Kernel</w:t>
        <w:br/>
        <w:t xml:space="preserve">    participant Registry</w:t>
        <w:br/>
        <w:t xml:space="preserve">    participant FileSystem</w:t>
        <w:br/>
        <w:t xml:space="preserve">    participant Capability</w:t>
        <w:br/>
        <w:t xml:space="preserve">    </w:t>
        <w:br/>
        <w:t xml:space="preserve">    Kernel-&gt;&gt;Registry: scan_for_plugins()</w:t>
        <w:br/>
        <w:t xml:space="preserve">    Registry-&gt;&gt;FileSystem: Read plugin directories</w:t>
        <w:br/>
        <w:t xml:space="preserve">    FileSystem--&gt;&gt;Registry: manifest.json (ID, version, signatures)</w:t>
        <w:br/>
        <w:t xml:space="preserve">    Registry-&gt;&gt;Registry: Validate Cryptographic Signature</w:t>
        <w:br/>
        <w:t xml:space="preserve">    Registry-&gt;&gt;Capability: instantiate(metadata)</w:t>
        <w:br/>
        <w:t xml:space="preserve">    Capability--&gt;&gt;Registry: ICapability Instance</w:t>
        <w:br/>
        <w:t xml:space="preserve">    Registry-&gt;&gt;Kernel: Capability Registered</w:t>
      </w:r>
    </w:p>
    <w:p>
      <w:pPr>
        <w:spacing w:after="120" w:line="276" w:lineRule="auto"/>
      </w:pPr>
      <w:r>
        <w:rPr>
          <w:rFonts w:ascii="Arial" w:hAnsi="Arial"/>
          <w:color w:val="333333"/>
          <w:sz w:val="21"/>
        </w:rPr>
        <w:t>---</w:t>
      </w:r>
    </w:p>
    <w:p>
      <w:pPr>
        <w:keepNext/>
        <w:spacing w:before="360" w:after="160"/>
      </w:pPr>
      <w:r>
        <w:rPr>
          <w:b/>
          <w:color w:val="1B365D"/>
          <w:sz w:val="32"/>
        </w:rPr>
        <w:t>4. Dependency Resolution</w:t>
      </w:r>
    </w:p>
    <w:p>
      <w:pPr>
        <w:spacing w:after="120" w:line="276" w:lineRule="auto"/>
      </w:pPr>
      <w:r>
        <w:rPr>
          <w:rFonts w:ascii="Arial" w:hAnsi="Arial"/>
          <w:color w:val="333333"/>
          <w:sz w:val="21"/>
        </w:rPr>
        <w:t>Capabilities can declare dependencies on other capabilities via their manifest. The Registry performs a Topological Sort to determine the load order.</w:t>
      </w:r>
    </w:p>
    <w:p>
      <w:pPr>
        <w:spacing w:before="120" w:after="120"/>
        <w:ind w:left="720"/>
        <w:shd w:fill="F5F5F5"/>
      </w:pPr>
      <w:r>
        <w:rPr>
          <w:rFonts w:ascii="Consolas" w:hAnsi="Consolas"/>
          <w:color w:val="4B6B94"/>
          <w:sz w:val="19"/>
        </w:rPr>
        <w:t>graph TD</w:t>
        <w:br/>
        <w:t xml:space="preserve">    A[Desktop Capability]</w:t>
        <w:br/>
        <w:t xml:space="preserve">    B[Browser Capability]</w:t>
        <w:br/>
        <w:t xml:space="preserve">    C[Vision Capability]</w:t>
        <w:br/>
        <w:t xml:space="preserve">    D[Context Engine]</w:t>
        <w:br/>
        <w:t xml:space="preserve">    </w:t>
        <w:br/>
        <w:t xml:space="preserve">    B -- depends_on --&gt; A</w:t>
        <w:br/>
        <w:t xml:space="preserve">    C -- depends_on --&gt; A</w:t>
        <w:br/>
        <w:t xml:space="preserve">    D -- depends_on --&gt; C</w:t>
        <w:br/>
        <w:t xml:space="preserve">    D -- depends_on --&gt; B</w:t>
      </w:r>
    </w:p>
    <w:p>
      <w:pPr>
        <w:spacing w:after="120" w:line="276" w:lineRule="auto"/>
      </w:pPr>
      <w:r>
        <w:rPr>
          <w:rFonts w:ascii="Arial" w:hAnsi="Arial"/>
          <w:i/>
          <w:color w:val="333333"/>
          <w:sz w:val="21"/>
        </w:rPr>
        <w:t>Rule: If a dependency fails to reach the `Healthy` state, the dependent capability is aborted.</w:t>
      </w:r>
    </w:p>
    <w:p>
      <w:pPr>
        <w:spacing w:after="120" w:line="276" w:lineRule="auto"/>
      </w:pPr>
      <w:r>
        <w:rPr>
          <w:rFonts w:ascii="Arial" w:hAnsi="Arial"/>
          <w:color w:val="333333"/>
          <w:sz w:val="21"/>
        </w:rPr>
        <w:t>---</w:t>
      </w:r>
    </w:p>
    <w:p>
      <w:pPr>
        <w:keepNext/>
        <w:spacing w:before="360" w:after="160"/>
      </w:pPr>
      <w:r>
        <w:rPr>
          <w:b/>
          <w:color w:val="1B365D"/>
          <w:sz w:val="32"/>
        </w:rPr>
        <w:t>5. Permission Model</w:t>
      </w:r>
    </w:p>
    <w:p>
      <w:pPr>
        <w:spacing w:after="120" w:line="276" w:lineRule="auto"/>
      </w:pPr>
      <w:r>
        <w:rPr>
          <w:rFonts w:ascii="Arial" w:hAnsi="Arial"/>
          <w:color w:val="333333"/>
          <w:sz w:val="21"/>
        </w:rPr>
        <w:t>Capabilities must declare OS-level permissions in their manifest. The Kernel intercepts execution requests and blocks them if the token lacks the declared scope.</w:t>
      </w:r>
    </w:p>
    <w:p>
      <w:pPr>
        <w:spacing w:after="120" w:line="276" w:lineRule="auto"/>
      </w:pPr>
      <w:r>
        <w:rPr>
          <w:rFonts w:ascii="Arial" w:hAnsi="Arial"/>
          <w:b/>
          <w:color w:val="333333"/>
          <w:sz w:val="21"/>
        </w:rPr>
        <w:t>Example `manifest.json` metadata:</w:t>
      </w:r>
    </w:p>
    <w:p>
      <w:pPr>
        <w:spacing w:before="120" w:after="120"/>
        <w:ind w:left="720"/>
        <w:shd w:fill="F5F5F5"/>
      </w:pPr>
      <w:r>
        <w:rPr>
          <w:rFonts w:ascii="Consolas" w:hAnsi="Consolas"/>
          <w:color w:val="4B6B94"/>
          <w:sz w:val="19"/>
        </w:rPr>
        <w:t>{</w:t>
        <w:br/>
        <w:t xml:space="preserve">  "permissions_required": [</w:t>
        <w:br/>
        <w:t xml:space="preserve">    "os.fs.read",</w:t>
        <w:br/>
        <w:t xml:space="preserve">    "os.mouse.move",</w:t>
        <w:br/>
        <w:t xml:space="preserve">    "network.https.outbound"</w:t>
        <w:br/>
        <w:t xml:space="preserve">  ]</w:t>
        <w:br/>
        <w:t>}</w:t>
      </w:r>
    </w:p>
    <w:p>
      <w:pPr>
        <w:spacing w:after="120" w:line="276" w:lineRule="auto"/>
      </w:pPr>
      <w:r>
        <w:rPr>
          <w:rFonts w:ascii="Arial" w:hAnsi="Arial"/>
          <w:color w:val="333333"/>
          <w:sz w:val="21"/>
        </w:rPr>
        <w:t>---</w:t>
      </w:r>
    </w:p>
    <w:p>
      <w:pPr>
        <w:keepNext/>
        <w:spacing w:before="360" w:after="160"/>
      </w:pPr>
      <w:r>
        <w:rPr>
          <w:b/>
          <w:color w:val="1B365D"/>
          <w:sz w:val="32"/>
        </w:rPr>
        <w:t>6. Configuration Model</w:t>
      </w:r>
    </w:p>
    <w:p>
      <w:pPr>
        <w:spacing w:after="120" w:line="276" w:lineRule="auto"/>
      </w:pPr>
      <w:r>
        <w:rPr>
          <w:rFonts w:ascii="Arial" w:hAnsi="Arial"/>
          <w:color w:val="333333"/>
          <w:sz w:val="21"/>
        </w:rPr>
        <w:t>Capabilities define their own strictly typed configuration schemas using `Pydantic`.</w:t>
      </w:r>
    </w:p>
    <w:p>
      <w:pPr>
        <w:spacing w:after="120" w:line="276" w:lineRule="auto"/>
      </w:pPr>
      <w:r>
        <w:rPr>
          <w:rFonts w:ascii="Arial" w:hAnsi="Arial"/>
          <w:color w:val="333333"/>
          <w:sz w:val="21"/>
        </w:rPr>
        <w:t>The Kernel merges `.env` values and injects the validated `Config` object during the `initialize()` state.</w:t>
      </w:r>
    </w:p>
    <w:p>
      <w:pPr>
        <w:spacing w:after="120" w:line="276" w:lineRule="auto"/>
      </w:pPr>
      <w:r>
        <w:rPr>
          <w:rFonts w:ascii="Arial" w:hAnsi="Arial"/>
          <w:color w:val="333333"/>
          <w:sz w:val="21"/>
        </w:rPr>
        <w:t>---</w:t>
      </w:r>
    </w:p>
    <w:p>
      <w:pPr>
        <w:keepNext/>
        <w:spacing w:before="360" w:after="160"/>
      </w:pPr>
      <w:r>
        <w:rPr>
          <w:b/>
          <w:color w:val="1B365D"/>
          <w:sz w:val="32"/>
        </w:rPr>
        <w:t>7. Health Model</w:t>
      </w:r>
    </w:p>
    <w:p>
      <w:pPr>
        <w:spacing w:after="120" w:line="276" w:lineRule="auto"/>
      </w:pPr>
      <w:r>
        <w:rPr>
          <w:rFonts w:ascii="Arial" w:hAnsi="Arial"/>
          <w:color w:val="333333"/>
          <w:sz w:val="21"/>
        </w:rPr>
        <w:t>The Kernel Watchdog pulses every 10 seconds.</w:t>
      </w:r>
    </w:p>
    <w:p>
      <w:pPr>
        <w:pStyle w:val="ListBullet"/>
        <w:spacing w:after="60"/>
      </w:pPr>
      <w:r>
        <w:rPr>
          <w:rFonts w:ascii="Arial" w:hAnsi="Arial"/>
          <w:color w:val="333333"/>
          <w:sz w:val="21"/>
        </w:rPr>
        <w:t xml:space="preserve">  Capabilities must implement `async def health_check() -&gt; HealthStatus`.</w:t>
      </w:r>
    </w:p>
    <w:p>
      <w:pPr>
        <w:pStyle w:val="ListBullet"/>
        <w:spacing w:after="60"/>
      </w:pPr>
      <w:r>
        <w:rPr>
          <w:rFonts w:ascii="Arial" w:hAnsi="Arial"/>
          <w:color w:val="333333"/>
          <w:sz w:val="21"/>
        </w:rPr>
        <w:t xml:space="preserve">  If a capability blocks the thread or returns `UNHEALTHY`, it is transitioned to the `Stopped` state and the Event Bus queues a `System.Capability.Crashed` event.</w:t>
      </w:r>
    </w:p>
    <w:p>
      <w:pPr>
        <w:spacing w:after="120" w:line="276" w:lineRule="auto"/>
      </w:pPr>
      <w:r>
        <w:rPr>
          <w:rFonts w:ascii="Arial" w:hAnsi="Arial"/>
          <w:color w:val="333333"/>
          <w:sz w:val="21"/>
        </w:rPr>
        <w:t>---</w:t>
      </w:r>
    </w:p>
    <w:p>
      <w:pPr>
        <w:keepNext/>
        <w:spacing w:before="360" w:after="160"/>
      </w:pPr>
      <w:r>
        <w:rPr>
          <w:b/>
          <w:color w:val="1B365D"/>
          <w:sz w:val="32"/>
        </w:rPr>
        <w:t>8. Execution Sequence Model</w:t>
      </w:r>
    </w:p>
    <w:p>
      <w:pPr>
        <w:spacing w:after="120" w:line="276" w:lineRule="auto"/>
      </w:pPr>
      <w:r>
        <w:rPr>
          <w:rFonts w:ascii="Arial" w:hAnsi="Arial"/>
          <w:color w:val="333333"/>
          <w:sz w:val="21"/>
        </w:rPr>
        <w:t>When the AI Planner wants to invoke a capability, it dispatches an `ExecutionRequest`.</w:t>
      </w:r>
    </w:p>
    <w:p>
      <w:pPr>
        <w:spacing w:before="120" w:after="120"/>
        <w:ind w:left="720"/>
        <w:shd w:fill="F5F5F5"/>
      </w:pPr>
      <w:r>
        <w:rPr>
          <w:rFonts w:ascii="Consolas" w:hAnsi="Consolas"/>
          <w:color w:val="4B6B94"/>
          <w:sz w:val="19"/>
        </w:rPr>
        <w:t>sequenceDiagram</w:t>
        <w:br/>
        <w:t xml:space="preserve">    participant Planner</w:t>
        <w:br/>
        <w:t xml:space="preserve">    participant EventBus</w:t>
        <w:br/>
        <w:t xml:space="preserve">    participant Registry</w:t>
        <w:br/>
        <w:t xml:space="preserve">    participant Capability</w:t>
        <w:br/>
        <w:t xml:space="preserve">    </w:t>
        <w:br/>
        <w:t xml:space="preserve">    Planner-&gt;&gt;EventBus: Publish ExecutionRequest(ID: "Vision.Capture")</w:t>
        <w:br/>
        <w:t xml:space="preserve">    EventBus-&gt;&gt;Registry: Route Request</w:t>
        <w:br/>
        <w:t xml:space="preserve">    Registry-&gt;&gt;Registry: Validate Permissions &amp; State (Healthy)</w:t>
        <w:br/>
        <w:t xml:space="preserve">    Registry-&gt;&gt;Capability: await execute(payload)</w:t>
        <w:br/>
        <w:t xml:space="preserve">    Capability--&gt;&gt;Registry: ExecutionResponse</w:t>
        <w:br/>
        <w:t xml:space="preserve">    Registry-&gt;&gt;EventBus: Publish ExecutionResponse</w:t>
        <w:br/>
        <w:t xml:space="preserve">    EventBus--&gt;&gt;Planner: Action Result Delivered</w:t>
      </w:r>
    </w:p>
    <w:p>
      <w:pPr>
        <w:spacing w:after="120" w:line="276" w:lineRule="auto"/>
      </w:pPr>
      <w:r>
        <w:rPr>
          <w:rFonts w:ascii="Arial" w:hAnsi="Arial"/>
          <w:color w:val="333333"/>
          <w:sz w:val="21"/>
        </w:rPr>
        <w:t>---</w:t>
      </w:r>
    </w:p>
    <w:p>
      <w:pPr>
        <w:keepNext/>
        <w:spacing w:before="360" w:after="160"/>
      </w:pPr>
      <w:r>
        <w:rPr>
          <w:b/>
          <w:color w:val="1B365D"/>
          <w:sz w:val="32"/>
        </w:rPr>
        <w:t>9. Error Model</w:t>
      </w:r>
    </w:p>
    <w:p>
      <w:pPr>
        <w:spacing w:after="120" w:line="276" w:lineRule="auto"/>
      </w:pPr>
      <w:r>
        <w:rPr>
          <w:rFonts w:ascii="Arial" w:hAnsi="Arial"/>
          <w:color w:val="333333"/>
          <w:sz w:val="21"/>
        </w:rPr>
        <w:t>Failures are standardized using the `StructuredError` schema to ensure the AI Reasoning engine can parse and recover from crashes.</w:t>
      </w:r>
    </w:p>
    <w:p>
      <w:pPr>
        <w:spacing w:before="120" w:after="120"/>
        <w:ind w:left="720"/>
        <w:shd w:fill="F5F5F5"/>
      </w:pPr>
      <w:r>
        <w:rPr>
          <w:rFonts w:ascii="Consolas" w:hAnsi="Consolas"/>
          <w:color w:val="4B6B94"/>
          <w:sz w:val="19"/>
        </w:rPr>
        <w:t>{</w:t>
        <w:br/>
        <w:t xml:space="preserve">  "error_code": "ERR_CAP_TIMEOUT",</w:t>
        <w:br/>
        <w:t xml:space="preserve">  "capability_id": "com.nova.vision",</w:t>
        <w:br/>
        <w:t xml:space="preserve">  "message": "OCR engine timed out after 5000ms",</w:t>
        <w:br/>
        <w:t xml:space="preserve">  "recoverable": true,</w:t>
        <w:br/>
        <w:t xml:space="preserve">  "stack_trace": "..."</w:t>
        <w:br/>
        <w:t>}</w:t>
      </w:r>
    </w:p>
    <w:p>
      <w:pPr>
        <w:spacing w:after="120" w:line="276" w:lineRule="auto"/>
      </w:pPr>
      <w:r>
        <w:rPr>
          <w:rFonts w:ascii="Arial" w:hAnsi="Arial"/>
          <w:color w:val="333333"/>
          <w:sz w:val="21"/>
        </w:rPr>
        <w:t>---</w:t>
      </w:r>
    </w:p>
    <w:p>
      <w:pPr>
        <w:keepNext/>
        <w:spacing w:before="360" w:after="160"/>
      </w:pPr>
      <w:r>
        <w:rPr>
          <w:b/>
          <w:color w:val="1B365D"/>
          <w:sz w:val="32"/>
        </w:rPr>
        <w:t>10. Extension Model (Third-Party)</w:t>
      </w:r>
    </w:p>
    <w:p>
      <w:pPr>
        <w:spacing w:after="120" w:line="276" w:lineRule="auto"/>
      </w:pPr>
      <w:r>
        <w:rPr>
          <w:rFonts w:ascii="Arial" w:hAnsi="Arial"/>
          <w:color w:val="333333"/>
          <w:sz w:val="21"/>
        </w:rPr>
        <w:t>Third-party developers can create plugins by:</w:t>
      </w:r>
    </w:p>
    <w:p>
      <w:pPr>
        <w:pStyle w:val="ListNumber"/>
        <w:spacing w:after="60"/>
      </w:pPr>
      <w:r>
        <w:rPr>
          <w:rFonts w:ascii="Arial" w:hAnsi="Arial"/>
          <w:color w:val="333333"/>
          <w:sz w:val="21"/>
        </w:rPr>
        <w:t>Inheriting the Python `ICapability` class.</w:t>
      </w:r>
    </w:p>
    <w:p>
      <w:pPr>
        <w:pStyle w:val="ListNumber"/>
        <w:spacing w:after="60"/>
      </w:pPr>
      <w:r>
        <w:rPr>
          <w:rFonts w:ascii="Arial" w:hAnsi="Arial"/>
          <w:color w:val="333333"/>
          <w:sz w:val="21"/>
        </w:rPr>
        <w:t>Providing a valid `manifest.json`.</w:t>
      </w:r>
    </w:p>
    <w:p>
      <w:pPr>
        <w:pStyle w:val="ListNumber"/>
        <w:spacing w:after="60"/>
      </w:pPr>
      <w:r>
        <w:rPr>
          <w:rFonts w:ascii="Arial" w:hAnsi="Arial"/>
          <w:color w:val="333333"/>
          <w:sz w:val="21"/>
        </w:rPr>
        <w:t>Dropping the folder into `01_Source/nova/plugins/`.</w:t>
      </w:r>
    </w:p>
    <w:p>
      <w:pPr>
        <w:pStyle w:val="ListNumber"/>
        <w:spacing w:after="60"/>
      </w:pPr>
      <w:r>
        <w:rPr>
          <w:rFonts w:ascii="Arial" w:hAnsi="Arial"/>
          <w:color w:val="333333"/>
          <w:sz w:val="21"/>
        </w:rPr>
        <w:t>Restarting the Kernel (Hot-reloading is out of scope for Phase 1).</w:t>
      </w:r>
    </w:p>
    <w:p>
      <w:pPr>
        <w:spacing w:after="120" w:line="276" w:lineRule="auto"/>
      </w:pPr>
      <w:r>
        <w:rPr>
          <w:rFonts w:ascii="Arial" w:hAnsi="Arial"/>
          <w:color w:val="333333"/>
          <w:sz w:val="21"/>
        </w:rPr>
        <w:t>---</w:t>
      </w:r>
    </w:p>
    <w:p>
      <w:pPr>
        <w:keepNext/>
        <w:spacing w:before="360" w:after="160"/>
      </w:pPr>
      <w:r>
        <w:rPr>
          <w:b/>
          <w:color w:val="1B365D"/>
          <w:sz w:val="32"/>
        </w:rPr>
        <w:t>11. Review Checklist</w:t>
      </w:r>
    </w:p>
    <w:p>
      <w:pPr>
        <w:pStyle w:val="ListBullet"/>
        <w:spacing w:after="60"/>
      </w:pPr>
      <w:r>
        <w:rPr>
          <w:rFonts w:ascii="Arial" w:hAnsi="Arial"/>
          <w:color w:val="333333"/>
          <w:sz w:val="21"/>
        </w:rPr>
        <w:t>[x] Lifecycles explicitly prevent execution before dependency initialization.</w:t>
      </w:r>
    </w:p>
    <w:p>
      <w:pPr>
        <w:pStyle w:val="ListBullet"/>
        <w:spacing w:after="60"/>
      </w:pPr>
      <w:r>
        <w:rPr>
          <w:rFonts w:ascii="Arial" w:hAnsi="Arial"/>
          <w:color w:val="333333"/>
          <w:sz w:val="21"/>
        </w:rPr>
        <w:t>[x] Capability concrete implementations remain hidden from the Kernel.</w:t>
      </w:r>
    </w:p>
    <w:p>
      <w:pPr>
        <w:pStyle w:val="ListBullet"/>
        <w:spacing w:after="60"/>
      </w:pPr>
      <w:r>
        <w:rPr>
          <w:rFonts w:ascii="Arial" w:hAnsi="Arial"/>
          <w:color w:val="333333"/>
          <w:sz w:val="21"/>
        </w:rPr>
        <w:t>[x] Permission boundaries are strictly enforced prior to execution.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