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80" w:after="240"/>
      </w:pPr>
      <w:r>
        <w:rPr>
          <w:b/>
          <w:color w:val="1B365D"/>
          <w:sz w:val="44"/>
        </w:rPr>
        <w:t>Project NOVA Architecture Review Report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Backlog Dependency Analysis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**Document ID**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NOVA-ARR-002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**Version**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1.0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**Status**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`APPROVED`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**Author**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Antigravity (Lead Software Engineering Agent)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**Reviewer**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ChatGPT (Chief Architect)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**Approved By**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Praveen (Project Founder)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**Created**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2026-06-28</w:t>
            </w:r>
          </w:p>
        </w:tc>
      </w:tr>
    </w:tbl>
    <w:p>
      <w:pPr>
        <w:spacing w:before="240" w:after="0"/>
      </w:pP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Executive Summary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 xml:space="preserve">This document provides a mathematical verification of the dependencies declared in `NOVA-ENG-002_Engineering_Backlog.md`. It maps the Epic-level flow and the Task-level Critical Path to ensure that the 12 Sprints across the 4 Phases contain zero circular dependencies and zero chronological conflicts. The backlog is certified </w:t>
      </w:r>
      <w:r>
        <w:rPr>
          <w:rFonts w:ascii="Arial" w:hAnsi="Arial"/>
          <w:b/>
          <w:color w:val="333333"/>
          <w:sz w:val="21"/>
        </w:rPr>
        <w:t>Implementation-Ready</w:t>
      </w:r>
      <w:r>
        <w:rPr>
          <w:rFonts w:ascii="Arial" w:hAnsi="Arial"/>
          <w:color w:val="333333"/>
          <w:sz w:val="21"/>
        </w:rPr>
        <w:t>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1. Epic-Level Dependency Graph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The following graph maps the flow of Epics. Phase 1 (Platform Foundation) acts as the absolute blocker for all subsequent phases.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4B6B94"/>
          <w:sz w:val="19"/>
        </w:rPr>
        <w:t>graph TD</w:t>
        <w:br/>
        <w:t xml:space="preserve">    %% Phase 1</w:t>
        <w:br/>
        <w:t xml:space="preserve">    subgraph Phase 1: Platform Foundation</w:t>
        <w:br/>
        <w:t xml:space="preserve">        E1[Epic 1: Engineering Governance] --&gt; E2[Epic 2: Core Frameworks]</w:t>
        <w:br/>
        <w:t xml:space="preserve">        E2 --&gt; E3[Epic 3: System Infrastructure]</w:t>
        <w:br/>
        <w:t xml:space="preserve">    end</w:t>
        <w:br/>
        <w:br/>
        <w:t xml:space="preserve">    %% Phase 2</w:t>
        <w:br/>
        <w:t xml:space="preserve">    subgraph Phase 2: Platform Capabilities</w:t>
        <w:br/>
        <w:t xml:space="preserve">        E3 --&gt; E4[Epic 4: Native Capabilities]</w:t>
        <w:br/>
        <w:t xml:space="preserve">    end</w:t>
        <w:br/>
        <w:br/>
        <w:t xml:space="preserve">    %% Phase 3</w:t>
        <w:br/>
        <w:t xml:space="preserve">    subgraph Phase 3: Intelligence</w:t>
        <w:br/>
        <w:t xml:space="preserve">        E4 --&gt; E5[Epic 5: Cognitive Engines]</w:t>
        <w:br/>
        <w:t xml:space="preserve">    end</w:t>
        <w:br/>
        <w:br/>
        <w:t xml:space="preserve">    %% Phase 4</w:t>
        <w:br/>
        <w:t xml:space="preserve">    subgraph Phase 4: Applications</w:t>
        <w:br/>
        <w:t xml:space="preserve">        E5 --&gt; E6[Epic 6: Presentation Layer]</w:t>
        <w:br/>
        <w:t xml:space="preserve">    end</w:t>
        <w:br/>
        <w:t xml:space="preserve">    </w:t>
        <w:br/>
        <w:t xml:space="preserve">    style E1 fill:#003366,stroke:#333,stroke-width:2px,color:#fff</w:t>
        <w:br/>
        <w:t xml:space="preserve">    style E2 fill:#003366,stroke:#333,stroke-width:2px,color:#fff</w:t>
        <w:br/>
        <w:t xml:space="preserve">    style E3 fill:#003366,stroke:#333,stroke-width:2px,color:#fff</w:t>
        <w:br/>
        <w:t xml:space="preserve">    style E4 fill:#005c99,stroke:#333,stroke-width:2px,color:#fff</w:t>
        <w:br/>
        <w:t xml:space="preserve">    style E5 fill:#0086b3,stroke:#333,stroke-width:2px,color:#fff</w:t>
        <w:br/>
        <w:t xml:space="preserve">    style E6 fill:#00ace6,stroke:#333,stroke-width:2px,color:#fff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>Analysis Outcome:</w:t>
      </w:r>
      <w:r>
        <w:rPr>
          <w:rFonts w:ascii="Arial" w:hAnsi="Arial"/>
          <w:color w:val="333333"/>
          <w:sz w:val="21"/>
        </w:rPr>
        <w:t xml:space="preserve"> The Epic flow is strictly linear and cascading. There are no circular dependencies between phases.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2. Task-Level Critical Path Analysis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The critical path determines the longest sequence of dependent tasks. A delay in any critical path task will delay the entire platform launch.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4B6B94"/>
          <w:sz w:val="19"/>
        </w:rPr>
        <w:t>graph TD</w:t>
        <w:br/>
        <w:t xml:space="preserve">    TSK101[TSK-101: Repository Spec] --&gt; TSK102[TSK-102: Tech Stack]</w:t>
        <w:br/>
        <w:t xml:space="preserve">    TSK102 --&gt; TSK103[TSK-103: Capability Base]</w:t>
        <w:br/>
        <w:t xml:space="preserve">    </w:t>
        <w:br/>
        <w:t xml:space="preserve">    TSK103 --&gt; TSK104[TSK-104: Provider Layer]</w:t>
        <w:br/>
        <w:t xml:space="preserve">    TSK103 --&gt; TSK105[TSK-105: Plugin Registry]</w:t>
        <w:br/>
        <w:t xml:space="preserve">    </w:t>
        <w:br/>
        <w:t xml:space="preserve">    TSK105 --&gt; TSK107[TSK-107: Permissions]</w:t>
        <w:br/>
        <w:t xml:space="preserve">    </w:t>
        <w:br/>
        <w:t xml:space="preserve">    TSK107 -.-&gt; TSK201[TSK-201: Desktop Cap]</w:t>
        <w:br/>
        <w:t xml:space="preserve">    TSK201 -.-&gt; TSK202[TSK-202: Vision Cap]</w:t>
        <w:br/>
        <w:t xml:space="preserve">    TSK202 -.-&gt; TSK301[TSK-301: Context Engine]</w:t>
        <w:br/>
        <w:t xml:space="preserve">    TSK301 -.-&gt; TSK302[TSK-302: Reasoning Planner]</w:t>
        <w:br/>
        <w:t xml:space="preserve">    TSK302 -.-&gt; TSK402[TSK-402: Desktop GUI]</w:t>
        <w:br/>
        <w:t xml:space="preserve">    </w:t>
        <w:br/>
        <w:t xml:space="preserve">    style TSK101 fill:#cc0000,stroke:#333,color:#fff</w:t>
        <w:br/>
        <w:t xml:space="preserve">    style TSK102 fill:#cc0000,stroke:#333,color:#fff</w:t>
        <w:br/>
        <w:t xml:space="preserve">    style TSK103 fill:#cc0000,stroke:#333,color:#fff</w:t>
        <w:br/>
        <w:t xml:space="preserve">    style TSK105 fill:#cc0000,stroke:#333,color:#fff</w:t>
        <w:br/>
        <w:t xml:space="preserve">    style TSK107 fill:#cc0000,stroke:#333,color:#fff</w:t>
        <w:br/>
        <w:t xml:space="preserve">    style TSK201 fill:#cc0000,stroke:#333,color:#fff</w:t>
        <w:br/>
        <w:t xml:space="preserve">    style TSK202 fill:#cc0000,stroke:#333,color:#fff</w:t>
        <w:br/>
        <w:t xml:space="preserve">    style TSK301 fill:#cc0000,stroke:#333,color:#fff</w:t>
        <w:br/>
        <w:t xml:space="preserve">    style TSK302 fill:#cc0000,stroke:#333,color:#fff</w:t>
        <w:br/>
        <w:t xml:space="preserve">    style TSK402 fill:#cc0000,stroke:#333,color:#fff</w:t>
      </w:r>
    </w:p>
    <w:p>
      <w:pPr>
        <w:spacing w:after="120" w:line="276" w:lineRule="auto"/>
      </w:pPr>
      <w:r>
        <w:rPr>
          <w:rFonts w:ascii="Arial" w:hAnsi="Arial"/>
          <w:i/>
          <w:color w:val="333333"/>
          <w:sz w:val="21"/>
        </w:rPr>
        <w:t>(Nodes in RED indicate the absolute Critical Path.)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Critical Bottlenecks Identified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TSK-105 (Plugin Registry):</w:t>
      </w:r>
      <w:r>
        <w:rPr>
          <w:rFonts w:ascii="Arial" w:hAnsi="Arial"/>
          <w:color w:val="333333"/>
          <w:sz w:val="21"/>
        </w:rPr>
        <w:t xml:space="preserve"> Until the registry is capable of dynamically loading JSON manifests and Python modules, no Capability can be registered.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TSK-107 (Permission Framework):</w:t>
      </w:r>
      <w:r>
        <w:rPr>
          <w:rFonts w:ascii="Arial" w:hAnsi="Arial"/>
          <w:color w:val="333333"/>
          <w:sz w:val="21"/>
        </w:rPr>
        <w:t xml:space="preserve"> The desktop and browser capabilities </w:t>
      </w:r>
      <w:r>
        <w:rPr>
          <w:rFonts w:ascii="Arial" w:hAnsi="Arial"/>
          <w:b/>
          <w:color w:val="333333"/>
          <w:sz w:val="21"/>
        </w:rPr>
        <w:t>must not</w:t>
      </w:r>
      <w:r>
        <w:rPr>
          <w:rFonts w:ascii="Arial" w:hAnsi="Arial"/>
          <w:color w:val="333333"/>
          <w:sz w:val="21"/>
        </w:rPr>
        <w:t xml:space="preserve"> be implemented until the Permission Sandbox is complete to prevent security bypasses.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TSK-302 (Primary Reasoning Planner):</w:t>
      </w:r>
      <w:r>
        <w:rPr>
          <w:rFonts w:ascii="Arial" w:hAnsi="Arial"/>
          <w:color w:val="333333"/>
          <w:sz w:val="21"/>
        </w:rPr>
        <w:t xml:space="preserve"> No presentation layer (GUI/CLI) can function without the Planner orchestrating the underlying capabilities.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3. Risk Assessment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Risk Vector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Mitigation Strategy in Backlog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**Capability Sprawl**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High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High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TSK-103 enforces a rigid Abstract Base Class interface that all capabilities must inherit.</w:t>
            </w:r>
          </w:p>
        </w:tc>
      </w:tr>
      <w:tr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**Unsandboxed Execution**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Low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Critical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TSK-107 explicitly blocks OS-level execution for Capabilities lacking metadata permission grants.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**Event Bus Thrashing**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Medium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Medium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TSK-108 enforces dead-letter queuing and asynchronous isolation for heavy event loads.</w:t>
            </w:r>
          </w:p>
        </w:tc>
      </w:tr>
      <w:tr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**Provider Vendor Lock-in**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High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High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TSK-104 abstracts AI backends (LLM, Vision, Voice) behind the Provider interface, preventing concrete SDK leakage.</w:t>
            </w:r>
          </w:p>
        </w:tc>
      </w:tr>
    </w:tbl>
    <w:p>
      <w:pPr>
        <w:spacing w:before="240" w:after="0"/>
      </w:pP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4. Verification Checklist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[x] </w:t>
      </w:r>
      <w:r>
        <w:rPr>
          <w:rFonts w:ascii="Arial" w:hAnsi="Arial"/>
          <w:b/>
          <w:color w:val="333333"/>
          <w:sz w:val="21"/>
        </w:rPr>
        <w:t>Zero Circular Dependencies:</w:t>
      </w:r>
      <w:r>
        <w:rPr>
          <w:rFonts w:ascii="Arial" w:hAnsi="Arial"/>
          <w:color w:val="333333"/>
          <w:sz w:val="21"/>
        </w:rPr>
        <w:t xml:space="preserve"> Verified. No task requires a downstream dependency to complete.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[x] </w:t>
      </w:r>
      <w:r>
        <w:rPr>
          <w:rFonts w:ascii="Arial" w:hAnsi="Arial"/>
          <w:b/>
          <w:color w:val="333333"/>
          <w:sz w:val="21"/>
        </w:rPr>
        <w:t>Chronological Sanity:</w:t>
      </w:r>
      <w:r>
        <w:rPr>
          <w:rFonts w:ascii="Arial" w:hAnsi="Arial"/>
          <w:color w:val="333333"/>
          <w:sz w:val="21"/>
        </w:rPr>
        <w:t xml:space="preserve"> Verified. Sprints 1-4 perfectly encapsulate Phase 1 before Phase 2 (Sprints 5-7) begins.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[x] </w:t>
      </w:r>
      <w:r>
        <w:rPr>
          <w:rFonts w:ascii="Arial" w:hAnsi="Arial"/>
          <w:b/>
          <w:color w:val="333333"/>
          <w:sz w:val="21"/>
        </w:rPr>
        <w:t>Completeness:</w:t>
      </w:r>
      <w:r>
        <w:rPr>
          <w:rFonts w:ascii="Arial" w:hAnsi="Arial"/>
          <w:color w:val="333333"/>
          <w:sz w:val="21"/>
        </w:rPr>
        <w:t xml:space="preserve"> Verified. All 18 requested domains map to at least one distinct task.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[x] </w:t>
      </w:r>
      <w:r>
        <w:rPr>
          <w:rFonts w:ascii="Arial" w:hAnsi="Arial"/>
          <w:b/>
          <w:color w:val="333333"/>
          <w:sz w:val="21"/>
        </w:rPr>
        <w:t>Implementation Readiness:</w:t>
      </w:r>
      <w:r>
        <w:rPr>
          <w:rFonts w:ascii="Arial" w:hAnsi="Arial"/>
          <w:color w:val="333333"/>
          <w:sz w:val="21"/>
        </w:rPr>
        <w:t xml:space="preserve"> Verified. Every task has explicit Acceptance Criteria defined.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5. Conclusion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 xml:space="preserve">The `NOVA-ENG-002` backlog is structurally sound and cleared for execution. Implementation may proceed immediately with </w:t>
      </w:r>
      <w:r>
        <w:rPr>
          <w:rFonts w:ascii="Arial" w:hAnsi="Arial"/>
          <w:b/>
          <w:color w:val="333333"/>
          <w:sz w:val="21"/>
        </w:rPr>
        <w:t>Sprint 1 (Epic 1: Engineering Governance)</w:t>
      </w:r>
      <w:r>
        <w:rPr>
          <w:rFonts w:ascii="Arial" w:hAnsi="Arial"/>
          <w:color w:val="333333"/>
          <w:sz w:val="21"/>
        </w:rP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