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b/>
          <w:color w:val="1B365D"/>
          <w:sz w:val="44"/>
        </w:rPr>
        <w:t>Engineering Review Report</w:t>
      </w:r>
    </w:p>
    <w:p>
      <w:pPr>
        <w:keepNext/>
        <w:spacing w:before="360" w:after="160"/>
      </w:pPr>
      <w:r>
        <w:rPr>
          <w:b/>
          <w:color w:val="1B365D"/>
          <w:sz w:val="32"/>
        </w:rPr>
        <w:t>Project NOVA Engineering Assessment Milestone 001</w:t>
      </w:r>
    </w:p>
    <w:p>
      <w:pPr>
        <w:spacing w:after="120" w:line="276" w:lineRule="auto"/>
      </w:pPr>
      <w:r>
        <w:rPr>
          <w:rFonts w:ascii="Arial" w:hAnsi="Arial"/>
          <w:color w:val="333333"/>
          <w:sz w:val="21"/>
        </w:rPr>
        <w:t>---</w:t>
      </w:r>
    </w:p>
    <w:tbl>
      <w:tblPr>
        <w:tblW w:type="auto" w:w="0"/>
        <w:tblLayout w:type="fixed"/>
        <w:tblLook w:firstColumn="1" w:firstRow="1" w:lastColumn="0" w:lastRow="0" w:noHBand="0" w:noVBand="1" w:val="04A0"/>
      </w:tblPr>
      <w:tblGrid>
        <w:gridCol w:w="4680"/>
        <w:gridCol w:w="4680"/>
      </w:tblGrid>
      <w:tr>
        <w:tc>
          <w:tcPr>
            <w:tcW w:type="dxa" w:w="4680"/>
            <w:shd w:fill="1B365D"/>
            <w:tcMar>
              <w:top w:w="120" w:type="dxa"/>
              <w:bottom w:w="120" w:type="dxa"/>
              <w:left w:w="150" w:type="dxa"/>
              <w:right w:w="150" w:type="dxa"/>
            </w:tcMar>
          </w:tcPr>
          <w:p>
            <w:r>
              <w:rPr>
                <w:rFonts w:ascii="Arial" w:hAnsi="Arial"/>
                <w:b/>
                <w:color w:val="FFFFFF"/>
                <w:sz w:val="20"/>
              </w:rPr>
              <w:t>Field</w:t>
            </w:r>
          </w:p>
        </w:tc>
        <w:tc>
          <w:tcPr>
            <w:tcW w:type="dxa" w:w="4680"/>
            <w:shd w:fill="1B365D"/>
            <w:tcMar>
              <w:top w:w="120" w:type="dxa"/>
              <w:bottom w:w="120" w:type="dxa"/>
              <w:left w:w="150" w:type="dxa"/>
              <w:right w:w="150" w:type="dxa"/>
            </w:tcMar>
          </w:tcPr>
          <w:p>
            <w:r>
              <w:rPr>
                <w:rFonts w:ascii="Arial" w:hAnsi="Arial"/>
                <w:b/>
                <w:color w:val="FFFFFF"/>
                <w:sz w:val="20"/>
              </w:rPr>
              <w:t>Value</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**Document ID**</w:t>
            </w:r>
          </w:p>
        </w:tc>
        <w:tc>
          <w:tcPr>
            <w:tcW w:type="dxa" w:w="4680"/>
            <w:shd w:fill="FFFFFF"/>
            <w:tcMar>
              <w:top w:w="100" w:type="dxa"/>
              <w:bottom w:w="100" w:type="dxa"/>
              <w:left w:w="150" w:type="dxa"/>
              <w:right w:w="150" w:type="dxa"/>
            </w:tcMar>
          </w:tcPr>
          <w:p>
            <w:pPr>
              <w:spacing w:after="40"/>
            </w:pPr>
            <w:r>
              <w:rPr>
                <w:rFonts w:ascii="Arial" w:hAnsi="Arial"/>
                <w:color w:val="333333"/>
                <w:sz w:val="19"/>
              </w:rPr>
              <w:t>NOVA-ERR-001</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**Version**</w:t>
            </w:r>
          </w:p>
        </w:tc>
        <w:tc>
          <w:tcPr>
            <w:tcW w:type="dxa" w:w="4680"/>
            <w:shd w:fill="F9FBFD"/>
            <w:tcMar>
              <w:top w:w="100" w:type="dxa"/>
              <w:bottom w:w="100" w:type="dxa"/>
              <w:left w:w="150" w:type="dxa"/>
              <w:right w:w="150" w:type="dxa"/>
            </w:tcMar>
          </w:tcPr>
          <w:p>
            <w:pPr>
              <w:spacing w:after="40"/>
            </w:pPr>
            <w:r>
              <w:rPr>
                <w:rFonts w:ascii="Arial" w:hAnsi="Arial"/>
                <w:color w:val="333333"/>
                <w:sz w:val="19"/>
              </w:rPr>
              <w:t>1.0</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**Status**</w:t>
            </w:r>
          </w:p>
        </w:tc>
        <w:tc>
          <w:tcPr>
            <w:tcW w:type="dxa" w:w="4680"/>
            <w:shd w:fill="FFFFFF"/>
            <w:tcMar>
              <w:top w:w="100" w:type="dxa"/>
              <w:bottom w:w="100" w:type="dxa"/>
              <w:left w:w="150" w:type="dxa"/>
              <w:right w:w="150" w:type="dxa"/>
            </w:tcMar>
          </w:tcPr>
          <w:p>
            <w:pPr>
              <w:spacing w:after="40"/>
            </w:pPr>
            <w:r>
              <w:rPr>
                <w:rFonts w:ascii="Arial" w:hAnsi="Arial"/>
                <w:color w:val="333333"/>
                <w:sz w:val="19"/>
              </w:rPr>
              <w:t>`APPROVED`</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**Author**</w:t>
            </w:r>
          </w:p>
        </w:tc>
        <w:tc>
          <w:tcPr>
            <w:tcW w:type="dxa" w:w="4680"/>
            <w:shd w:fill="F9FBFD"/>
            <w:tcMar>
              <w:top w:w="100" w:type="dxa"/>
              <w:bottom w:w="100" w:type="dxa"/>
              <w:left w:w="150" w:type="dxa"/>
              <w:right w:w="150" w:type="dxa"/>
            </w:tcMar>
          </w:tcPr>
          <w:p>
            <w:pPr>
              <w:spacing w:after="40"/>
            </w:pPr>
            <w:r>
              <w:rPr>
                <w:rFonts w:ascii="Arial" w:hAnsi="Arial"/>
                <w:color w:val="333333"/>
                <w:sz w:val="19"/>
              </w:rPr>
              <w:t>Antigravity (Lead Software Engineering Agent)</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**Reviewer**</w:t>
            </w:r>
          </w:p>
        </w:tc>
        <w:tc>
          <w:tcPr>
            <w:tcW w:type="dxa" w:w="4680"/>
            <w:shd w:fill="FFFFFF"/>
            <w:tcMar>
              <w:top w:w="100" w:type="dxa"/>
              <w:bottom w:w="100" w:type="dxa"/>
              <w:left w:w="150" w:type="dxa"/>
              <w:right w:w="150" w:type="dxa"/>
            </w:tcMar>
          </w:tcPr>
          <w:p>
            <w:pPr>
              <w:spacing w:after="40"/>
            </w:pPr>
            <w:r>
              <w:rPr>
                <w:rFonts w:ascii="Arial" w:hAnsi="Arial"/>
                <w:color w:val="333333"/>
                <w:sz w:val="19"/>
              </w:rPr>
              <w:t>ChatGPT (Chief Architect)</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**Approved By**</w:t>
            </w:r>
          </w:p>
        </w:tc>
        <w:tc>
          <w:tcPr>
            <w:tcW w:type="dxa" w:w="4680"/>
            <w:shd w:fill="F9FBFD"/>
            <w:tcMar>
              <w:top w:w="100" w:type="dxa"/>
              <w:bottom w:w="100" w:type="dxa"/>
              <w:left w:w="150" w:type="dxa"/>
              <w:right w:w="150" w:type="dxa"/>
            </w:tcMar>
          </w:tcPr>
          <w:p>
            <w:pPr>
              <w:spacing w:after="40"/>
            </w:pPr>
            <w:r>
              <w:rPr>
                <w:rFonts w:ascii="Arial" w:hAnsi="Arial"/>
                <w:color w:val="333333"/>
                <w:sz w:val="19"/>
              </w:rPr>
              <w:t>Praveen (Project Founder)</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**Created**</w:t>
            </w:r>
          </w:p>
        </w:tc>
        <w:tc>
          <w:tcPr>
            <w:tcW w:type="dxa" w:w="4680"/>
            <w:shd w:fill="FFFFFF"/>
            <w:tcMar>
              <w:top w:w="100" w:type="dxa"/>
              <w:bottom w:w="100" w:type="dxa"/>
              <w:left w:w="150" w:type="dxa"/>
              <w:right w:w="150" w:type="dxa"/>
            </w:tcMar>
          </w:tcPr>
          <w:p>
            <w:pPr>
              <w:spacing w:after="40"/>
            </w:pPr>
            <w:r>
              <w:rPr>
                <w:rFonts w:ascii="Arial" w:hAnsi="Arial"/>
                <w:color w:val="333333"/>
                <w:sz w:val="19"/>
              </w:rPr>
              <w:t>2026-06-28</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**Dependencies**</w:t>
            </w:r>
          </w:p>
        </w:tc>
        <w:tc>
          <w:tcPr>
            <w:tcW w:type="dxa" w:w="4680"/>
            <w:shd w:fill="F9FBFD"/>
            <w:tcMar>
              <w:top w:w="100" w:type="dxa"/>
              <w:bottom w:w="100" w:type="dxa"/>
              <w:left w:w="150" w:type="dxa"/>
              <w:right w:w="150" w:type="dxa"/>
            </w:tcMar>
          </w:tcPr>
          <w:p>
            <w:pPr>
              <w:spacing w:after="40"/>
            </w:pPr>
            <w:r>
              <w:rPr>
                <w:rFonts w:ascii="Arial" w:hAnsi="Arial"/>
                <w:color w:val="333333"/>
                <w:sz w:val="19"/>
              </w:rPr>
              <w:t>NOVA-SPEC-001 to NOVA-SPEC-010</w:t>
            </w:r>
          </w:p>
        </w:tc>
      </w:tr>
    </w:tbl>
    <w:p>
      <w:pPr>
        <w:spacing w:before="240" w:after="0"/>
      </w:pPr>
    </w:p>
    <w:p>
      <w:pPr>
        <w:spacing w:after="120" w:line="276" w:lineRule="auto"/>
      </w:pPr>
      <w:r>
        <w:rPr>
          <w:rFonts w:ascii="Arial" w:hAnsi="Arial"/>
          <w:color w:val="333333"/>
          <w:sz w:val="21"/>
        </w:rPr>
        <w:t>---</w:t>
      </w:r>
    </w:p>
    <w:p>
      <w:pPr>
        <w:keepNext/>
        <w:spacing w:before="360" w:after="160"/>
      </w:pPr>
      <w:r>
        <w:rPr>
          <w:b/>
          <w:color w:val="1B365D"/>
          <w:sz w:val="32"/>
        </w:rPr>
        <w:t>Executive Summary</w:t>
      </w:r>
    </w:p>
    <w:p>
      <w:pPr>
        <w:spacing w:after="120" w:line="276" w:lineRule="auto"/>
      </w:pPr>
      <w:r>
        <w:rPr>
          <w:rFonts w:ascii="Arial" w:hAnsi="Arial"/>
          <w:color w:val="333333"/>
          <w:sz w:val="21"/>
        </w:rPr>
        <w:t>This document serves as the formal Engineering Review Report (Milestone 001) for Project NOVA. Following the stabilization of the repository structure and baseline architectural blueprints, this review analyzes the current documentation landscape against large-scale software industry standards. The report identifies 25 missing documents across 19 categories required before entering the production implementation phase, concluding with a prioritized engineering roadmap.</w:t>
      </w:r>
    </w:p>
    <w:p>
      <w:pPr>
        <w:spacing w:after="120" w:line="276" w:lineRule="auto"/>
      </w:pPr>
      <w:r>
        <w:rPr>
          <w:rFonts w:ascii="Arial" w:hAnsi="Arial"/>
          <w:color w:val="333333"/>
          <w:sz w:val="21"/>
        </w:rPr>
        <w:t>---</w:t>
      </w:r>
    </w:p>
    <w:p>
      <w:pPr>
        <w:keepNext/>
        <w:spacing w:before="360" w:after="160"/>
      </w:pPr>
      <w:r>
        <w:rPr>
          <w:b/>
          <w:color w:val="1B365D"/>
          <w:sz w:val="32"/>
        </w:rPr>
        <w:t>1. Documentation Quality Assessment</w:t>
      </w:r>
    </w:p>
    <w:p>
      <w:pPr>
        <w:spacing w:after="120" w:line="276" w:lineRule="auto"/>
      </w:pPr>
      <w:r>
        <w:rPr>
          <w:rFonts w:ascii="Arial" w:hAnsi="Arial"/>
          <w:b/>
          <w:color w:val="333333"/>
          <w:sz w:val="21"/>
        </w:rPr>
        <w:t>Current State:</w:t>
      </w:r>
    </w:p>
    <w:p>
      <w:pPr>
        <w:pStyle w:val="ListBullet"/>
        <w:spacing w:after="60"/>
      </w:pPr>
      <w:r>
        <w:rPr>
          <w:rFonts w:ascii="Arial" w:hAnsi="Arial"/>
          <w:color w:val="333333"/>
          <w:sz w:val="21"/>
        </w:rPr>
        <w:t xml:space="preserve">  </w:t>
      </w:r>
      <w:r>
        <w:rPr>
          <w:rFonts w:ascii="Arial" w:hAnsi="Arial"/>
          <w:b/>
          <w:color w:val="333333"/>
          <w:sz w:val="21"/>
        </w:rPr>
        <w:t>Foundation &amp; Product (NOVA-SPEC-001, 002):</w:t>
      </w:r>
      <w:r>
        <w:rPr>
          <w:rFonts w:ascii="Arial" w:hAnsi="Arial"/>
          <w:color w:val="333333"/>
          <w:sz w:val="21"/>
        </w:rPr>
        <w:t xml:space="preserve"> High quality. Clear personas, scope, and non-functional requirements are established.</w:t>
      </w:r>
    </w:p>
    <w:p>
      <w:pPr>
        <w:pStyle w:val="ListBullet"/>
        <w:spacing w:after="60"/>
      </w:pPr>
      <w:r>
        <w:rPr>
          <w:rFonts w:ascii="Arial" w:hAnsi="Arial"/>
          <w:color w:val="333333"/>
          <w:sz w:val="21"/>
        </w:rPr>
        <w:t xml:space="preserve">  </w:t>
      </w:r>
      <w:r>
        <w:rPr>
          <w:rFonts w:ascii="Arial" w:hAnsi="Arial"/>
          <w:b/>
          <w:color w:val="333333"/>
          <w:sz w:val="21"/>
        </w:rPr>
        <w:t>Architecture (NOVA-SPEC-003, 010):</w:t>
      </w:r>
      <w:r>
        <w:rPr>
          <w:rFonts w:ascii="Arial" w:hAnsi="Arial"/>
          <w:color w:val="333333"/>
          <w:sz w:val="21"/>
        </w:rPr>
        <w:t xml:space="preserve"> Excellent conceptual framing. The new 4-Layer Operating Platform model provides a robust mental model. The Communication Framework introduces necessary decoupling.</w:t>
      </w:r>
    </w:p>
    <w:p>
      <w:pPr>
        <w:pStyle w:val="ListBullet"/>
        <w:spacing w:after="60"/>
      </w:pPr>
      <w:r>
        <w:rPr>
          <w:rFonts w:ascii="Arial" w:hAnsi="Arial"/>
          <w:color w:val="333333"/>
          <w:sz w:val="21"/>
        </w:rPr>
        <w:t xml:space="preserve">  </w:t>
      </w:r>
      <w:r>
        <w:rPr>
          <w:rFonts w:ascii="Arial" w:hAnsi="Arial"/>
          <w:b/>
          <w:color w:val="333333"/>
          <w:sz w:val="21"/>
        </w:rPr>
        <w:t>AI Core &amp; Capabilities (NOVA-SPEC-004 to 009):</w:t>
      </w:r>
      <w:r>
        <w:rPr>
          <w:rFonts w:ascii="Arial" w:hAnsi="Arial"/>
          <w:color w:val="333333"/>
          <w:sz w:val="21"/>
        </w:rPr>
        <w:t xml:space="preserve"> Strong abstract definitions.</w:t>
      </w:r>
    </w:p>
    <w:p>
      <w:pPr>
        <w:spacing w:after="120" w:line="276" w:lineRule="auto"/>
      </w:pPr>
      <w:r>
        <w:rPr>
          <w:rFonts w:ascii="Arial" w:hAnsi="Arial"/>
          <w:b/>
          <w:color w:val="333333"/>
          <w:sz w:val="21"/>
        </w:rPr>
        <w:t>Gap Analysis:</w:t>
      </w:r>
    </w:p>
    <w:p>
      <w:pPr>
        <w:spacing w:after="120" w:line="276" w:lineRule="auto"/>
      </w:pPr>
      <w:r>
        <w:rPr>
          <w:rFonts w:ascii="Arial" w:hAnsi="Arial"/>
          <w:color w:val="333333"/>
          <w:sz w:val="21"/>
        </w:rPr>
        <w:t xml:space="preserve">While the </w:t>
      </w:r>
      <w:r>
        <w:rPr>
          <w:rFonts w:ascii="Arial" w:hAnsi="Arial"/>
          <w:i/>
          <w:color w:val="333333"/>
          <w:sz w:val="21"/>
        </w:rPr>
        <w:t>abstract</w:t>
      </w:r>
      <w:r>
        <w:rPr>
          <w:rFonts w:ascii="Arial" w:hAnsi="Arial"/>
          <w:color w:val="333333"/>
          <w:sz w:val="21"/>
        </w:rPr>
        <w:t xml:space="preserve"> architecture is sound, the repository entirely lacks </w:t>
      </w:r>
      <w:r>
        <w:rPr>
          <w:rFonts w:ascii="Arial" w:hAnsi="Arial"/>
          <w:i/>
          <w:color w:val="333333"/>
          <w:sz w:val="21"/>
        </w:rPr>
        <w:t>implementation-level</w:t>
      </w:r>
      <w:r>
        <w:rPr>
          <w:rFonts w:ascii="Arial" w:hAnsi="Arial"/>
          <w:color w:val="333333"/>
          <w:sz w:val="21"/>
        </w:rPr>
        <w:t xml:space="preserve"> standards. There are no guidelines dictating how code is written, how dependencies are managed, how CI/CD pipelines run, or how security is mathematically enforced. Without these, development will fracture immediately.</w:t>
      </w:r>
    </w:p>
    <w:p>
      <w:pPr>
        <w:spacing w:after="120" w:line="276" w:lineRule="auto"/>
      </w:pPr>
      <w:r>
        <w:rPr>
          <w:rFonts w:ascii="Arial" w:hAnsi="Arial"/>
          <w:color w:val="333333"/>
          <w:sz w:val="21"/>
        </w:rPr>
        <w:t>---</w:t>
      </w:r>
    </w:p>
    <w:p>
      <w:pPr>
        <w:keepNext/>
        <w:spacing w:before="360" w:after="160"/>
      </w:pPr>
      <w:r>
        <w:rPr>
          <w:b/>
          <w:color w:val="1B365D"/>
          <w:sz w:val="32"/>
        </w:rPr>
        <w:t>2. Missing Engineering Documents</w:t>
      </w:r>
    </w:p>
    <w:p>
      <w:pPr>
        <w:keepNext/>
        <w:spacing w:before="280" w:after="120"/>
      </w:pPr>
      <w:r>
        <w:rPr>
          <w:b/>
          <w:color w:val="4B6B94"/>
          <w:sz w:val="26"/>
        </w:rPr>
        <w:t>Engineering Manifesto</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Software Engineering Standards &amp; Practices</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NOVA-ENG-001</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Define the cultural and technical rules of engineering for the project (Code review checklists, Branching strategies like GitFlow vs Trunk-Based, issue tracking conventions).</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NOVA-SPEC-001</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HIGH</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1</w:t>
      </w:r>
    </w:p>
    <w:p>
      <w:pPr>
        <w:spacing w:after="120" w:line="276" w:lineRule="auto"/>
      </w:pPr>
      <w:r>
        <w:rPr>
          <w:rFonts w:ascii="Arial" w:hAnsi="Arial"/>
          <w:color w:val="333333"/>
          <w:sz w:val="21"/>
        </w:rPr>
        <w:t>---</w:t>
      </w:r>
    </w:p>
    <w:p>
      <w:pPr>
        <w:keepNext/>
        <w:spacing w:before="360" w:after="160"/>
      </w:pPr>
      <w:r>
        <w:rPr>
          <w:b/>
          <w:color w:val="1B365D"/>
          <w:sz w:val="32"/>
        </w:rPr>
        <w:t>3. Missing Architectural Specifications</w:t>
      </w:r>
    </w:p>
    <w:p>
      <w:pPr>
        <w:keepNext/>
        <w:spacing w:before="280" w:after="120"/>
      </w:pPr>
      <w:r>
        <w:rPr>
          <w:b/>
          <w:color w:val="4B6B94"/>
          <w:sz w:val="26"/>
        </w:rPr>
        <w:t>Plugin Framework Specification</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Plugin &amp; Extension Framework Specification</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NOVA-SPEC-013</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Define how third-party developers build capabilities that plug into the NOVA Kernel without modifying core source code.</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NOVA-SPEC-009 (Kernel)</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HIGH</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4</w:t>
      </w:r>
    </w:p>
    <w:p>
      <w:pPr>
        <w:keepNext/>
        <w:spacing w:before="280" w:after="120"/>
      </w:pPr>
      <w:r>
        <w:rPr>
          <w:b/>
          <w:color w:val="4B6B94"/>
          <w:sz w:val="26"/>
        </w:rPr>
        <w:t>Memory Architecture Specification</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Persistent Memory Architecture Specification</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NOVA-SPEC-014</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Define Vector DB schemas, context chunking, short-term vs long-term storage mechanisms, and PII anonymization.</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NOVA-SPEC-004 (AI Core)</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HIGH</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5</w:t>
      </w:r>
    </w:p>
    <w:p>
      <w:pPr>
        <w:keepNext/>
        <w:spacing w:before="280" w:after="120"/>
      </w:pPr>
      <w:r>
        <w:rPr>
          <w:b/>
          <w:color w:val="4B6B94"/>
          <w:sz w:val="26"/>
        </w:rPr>
        <w:t>Execution Pipeline Specification</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Execution Pipeline Specification</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NOVA-SPEC-015</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Define the step-by-step state machine from the Planner's intent output down to the Capability Router's OS execution, including the Observation Engine's feedback loop.</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NOVA-SPEC-009, NOVA-SPEC-004</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MEDIUM</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6</w:t>
      </w:r>
    </w:p>
    <w:p>
      <w:pPr>
        <w:spacing w:after="120" w:line="276" w:lineRule="auto"/>
      </w:pPr>
      <w:r>
        <w:rPr>
          <w:rFonts w:ascii="Arial" w:hAnsi="Arial"/>
          <w:color w:val="333333"/>
          <w:sz w:val="21"/>
        </w:rPr>
        <w:t>---</w:t>
      </w:r>
    </w:p>
    <w:p>
      <w:pPr>
        <w:keepNext/>
        <w:spacing w:before="360" w:after="160"/>
      </w:pPr>
      <w:r>
        <w:rPr>
          <w:b/>
          <w:color w:val="1B365D"/>
          <w:sz w:val="32"/>
        </w:rPr>
        <w:t>4. Missing Engineering Standards</w:t>
      </w:r>
    </w:p>
    <w:p>
      <w:pPr>
        <w:keepNext/>
        <w:spacing w:before="280" w:after="120"/>
      </w:pPr>
      <w:r>
        <w:rPr>
          <w:b/>
          <w:color w:val="4B6B94"/>
          <w:sz w:val="26"/>
        </w:rPr>
        <w:t>Source Control Standards</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Source Control &amp; Branching Strategy</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NOVA-ENG-002</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Define commit message formats (e.g. Conventional Commits), PR templates, code owner rules, and merge approval requirements.</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None</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HIGH</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2</w:t>
      </w:r>
    </w:p>
    <w:p>
      <w:pPr>
        <w:spacing w:after="120" w:line="276" w:lineRule="auto"/>
      </w:pPr>
      <w:r>
        <w:rPr>
          <w:rFonts w:ascii="Arial" w:hAnsi="Arial"/>
          <w:color w:val="333333"/>
          <w:sz w:val="21"/>
        </w:rPr>
        <w:t>---</w:t>
      </w:r>
    </w:p>
    <w:p>
      <w:pPr>
        <w:keepNext/>
        <w:spacing w:before="360" w:after="160"/>
      </w:pPr>
      <w:r>
        <w:rPr>
          <w:b/>
          <w:color w:val="1B365D"/>
          <w:sz w:val="32"/>
        </w:rPr>
        <w:t>5. Missing Capability Specifications</w:t>
      </w:r>
    </w:p>
    <w:p>
      <w:pPr>
        <w:spacing w:after="120" w:line="276" w:lineRule="auto"/>
      </w:pPr>
      <w:r>
        <w:rPr>
          <w:rFonts w:ascii="Arial" w:hAnsi="Arial"/>
          <w:color w:val="333333"/>
          <w:sz w:val="21"/>
        </w:rPr>
        <w:t>The 4-Layer Operating Platform model introduced new capabilities that have not been specified.</w:t>
      </w:r>
    </w:p>
    <w:p>
      <w:pPr>
        <w:keepNext/>
        <w:spacing w:before="280" w:after="120"/>
      </w:pPr>
      <w:r>
        <w:rPr>
          <w:b/>
          <w:color w:val="4B6B94"/>
          <w:sz w:val="26"/>
        </w:rPr>
        <w:t>Terminal &amp; Shell Capability</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Terminal Capability Specification</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NOVA-SPEC-016</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Define the API for NOVA to execute and read from background CLI environments securely.</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NOVA-SPEC-003</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MEDIUM</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10</w:t>
      </w:r>
    </w:p>
    <w:p>
      <w:pPr>
        <w:keepNext/>
        <w:spacing w:before="280" w:after="120"/>
      </w:pPr>
      <w:r>
        <w:rPr>
          <w:b/>
          <w:color w:val="4B6B94"/>
          <w:sz w:val="26"/>
        </w:rPr>
        <w:t>File System &amp; Office Capability</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File System &amp; Workspace Capability Specification</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NOVA-SPEC-017</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Define how NOVA traverses, reads, edits, and organizes local project directories and Office documents.</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NOVA-SPEC-003</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LOW</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11</w:t>
      </w:r>
    </w:p>
    <w:p>
      <w:pPr>
        <w:spacing w:after="120" w:line="276" w:lineRule="auto"/>
      </w:pPr>
      <w:r>
        <w:rPr>
          <w:rFonts w:ascii="Arial" w:hAnsi="Arial"/>
          <w:color w:val="333333"/>
          <w:sz w:val="21"/>
        </w:rPr>
        <w:t>---</w:t>
      </w:r>
    </w:p>
    <w:p>
      <w:pPr>
        <w:keepNext/>
        <w:spacing w:before="360" w:after="160"/>
      </w:pPr>
      <w:r>
        <w:rPr>
          <w:b/>
          <w:color w:val="1B365D"/>
          <w:sz w:val="32"/>
        </w:rPr>
        <w:t>6. Missing Security Documentation</w:t>
      </w:r>
    </w:p>
    <w:p>
      <w:pPr>
        <w:keepNext/>
        <w:spacing w:before="280" w:after="120"/>
      </w:pPr>
      <w:r>
        <w:rPr>
          <w:b/>
          <w:color w:val="4B6B94"/>
          <w:sz w:val="26"/>
        </w:rPr>
        <w:t>Core Security &amp; Permission Policy</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Security Policy &amp; Permissions Specification</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NOVA-SPEC-011</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Define the Permission Manager, Tokenized Sandboxing, and Secret Management (API keys). This prevents runaway AI behavior.</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NOVA-SPEC-009 (Kernel)</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CRITICAL</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3</w:t>
      </w:r>
    </w:p>
    <w:p>
      <w:pPr>
        <w:keepNext/>
        <w:spacing w:before="280" w:after="120"/>
      </w:pPr>
      <w:r>
        <w:rPr>
          <w:b/>
          <w:color w:val="4B6B94"/>
          <w:sz w:val="26"/>
        </w:rPr>
        <w:t>Threat Model</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System Threat Model &amp; Risk Assessment</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NOVA-SEC-001</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Document attack vectors (e.g., Prompt Injection, unauthorized capability execution) and mitigations.</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NOVA-SPEC-011</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MEDIUM</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15</w:t>
      </w:r>
    </w:p>
    <w:p>
      <w:pPr>
        <w:spacing w:after="120" w:line="276" w:lineRule="auto"/>
      </w:pPr>
      <w:r>
        <w:rPr>
          <w:rFonts w:ascii="Arial" w:hAnsi="Arial"/>
          <w:color w:val="333333"/>
          <w:sz w:val="21"/>
        </w:rPr>
        <w:t>---</w:t>
      </w:r>
    </w:p>
    <w:p>
      <w:pPr>
        <w:keepNext/>
        <w:spacing w:before="360" w:after="160"/>
      </w:pPr>
      <w:r>
        <w:rPr>
          <w:b/>
          <w:color w:val="1B365D"/>
          <w:sz w:val="32"/>
        </w:rPr>
        <w:t>7. Missing Testing Documentation</w:t>
      </w:r>
    </w:p>
    <w:p>
      <w:pPr>
        <w:keepNext/>
        <w:spacing w:before="280" w:after="120"/>
      </w:pPr>
      <w:r>
        <w:rPr>
          <w:b/>
          <w:color w:val="4B6B94"/>
          <w:sz w:val="26"/>
        </w:rPr>
        <w:t>Testing Strategy</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Automated Testing &amp; QA Specification</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NOVA-ENG-003</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Define required coverage thresholds, unit test patterns (PyTest), mocking strategies for capabilities, and E2E agent evaluation metrics.</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NOVA-ENG-001</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HIGH</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7</w:t>
      </w:r>
    </w:p>
    <w:p>
      <w:pPr>
        <w:spacing w:after="120" w:line="276" w:lineRule="auto"/>
      </w:pPr>
      <w:r>
        <w:rPr>
          <w:rFonts w:ascii="Arial" w:hAnsi="Arial"/>
          <w:color w:val="333333"/>
          <w:sz w:val="21"/>
        </w:rPr>
        <w:t>---</w:t>
      </w:r>
    </w:p>
    <w:p>
      <w:pPr>
        <w:keepNext/>
        <w:spacing w:before="360" w:after="160"/>
      </w:pPr>
      <w:r>
        <w:rPr>
          <w:b/>
          <w:color w:val="1B365D"/>
          <w:sz w:val="32"/>
        </w:rPr>
        <w:t>8. Missing Deployment Documentation</w:t>
      </w:r>
    </w:p>
    <w:p>
      <w:pPr>
        <w:keepNext/>
        <w:spacing w:before="280" w:after="120"/>
      </w:pPr>
      <w:r>
        <w:rPr>
          <w:b/>
          <w:color w:val="4B6B94"/>
          <w:sz w:val="26"/>
        </w:rPr>
        <w:t>Packaging &amp; Release</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Deployment &amp; Packaging Specification</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NOVA-SPEC-012</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Define how NOVA is compiled, packaged (Docker vs PyInstaller binaries), versioned, and distributed to end-users.</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NOVA-SPEC-003</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MEDIUM</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17</w:t>
      </w:r>
    </w:p>
    <w:p>
      <w:pPr>
        <w:spacing w:after="120" w:line="276" w:lineRule="auto"/>
      </w:pPr>
      <w:r>
        <w:rPr>
          <w:rFonts w:ascii="Arial" w:hAnsi="Arial"/>
          <w:color w:val="333333"/>
          <w:sz w:val="21"/>
        </w:rPr>
        <w:t>---</w:t>
      </w:r>
    </w:p>
    <w:p>
      <w:pPr>
        <w:keepNext/>
        <w:spacing w:before="360" w:after="160"/>
      </w:pPr>
      <w:r>
        <w:rPr>
          <w:b/>
          <w:color w:val="1B365D"/>
          <w:sz w:val="32"/>
        </w:rPr>
        <w:t>9. Missing Developer Documentation</w:t>
      </w:r>
    </w:p>
    <w:p>
      <w:pPr>
        <w:keepNext/>
        <w:spacing w:before="280" w:after="120"/>
      </w:pPr>
      <w:r>
        <w:rPr>
          <w:b/>
          <w:color w:val="4B6B94"/>
          <w:sz w:val="26"/>
        </w:rPr>
        <w:t>Onboarding Guide</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Developer Onboarding &amp; Local Setup Guide</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NOVA-DEV-001</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A quick-start guide for new engineers to clone, configure Python virtual environments, install dependencies, and run the system locally.</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None</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HIGH</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8</w:t>
      </w:r>
    </w:p>
    <w:p>
      <w:pPr>
        <w:spacing w:after="120" w:line="276" w:lineRule="auto"/>
      </w:pPr>
      <w:r>
        <w:rPr>
          <w:rFonts w:ascii="Arial" w:hAnsi="Arial"/>
          <w:color w:val="333333"/>
          <w:sz w:val="21"/>
        </w:rPr>
        <w:t>---</w:t>
      </w:r>
    </w:p>
    <w:p>
      <w:pPr>
        <w:keepNext/>
        <w:spacing w:before="360" w:after="160"/>
      </w:pPr>
      <w:r>
        <w:rPr>
          <w:b/>
          <w:color w:val="1B365D"/>
          <w:sz w:val="32"/>
        </w:rPr>
        <w:t>10. Missing API Documentation</w:t>
      </w:r>
    </w:p>
    <w:p>
      <w:pPr>
        <w:keepNext/>
        <w:spacing w:before="280" w:after="120"/>
      </w:pPr>
      <w:r>
        <w:rPr>
          <w:b/>
          <w:color w:val="4B6B94"/>
          <w:sz w:val="26"/>
        </w:rPr>
        <w:t>System API Contracts</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API Schema &amp; Interconnect Definitions</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NOVA-API-001</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Formal OpenAPI/JSON Schema definitions for the payloads passed across the `IEventBus` and remote WebSockets.</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NOVA-SPEC-010</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MEDIUM</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16</w:t>
      </w:r>
    </w:p>
    <w:p>
      <w:pPr>
        <w:spacing w:after="120" w:line="276" w:lineRule="auto"/>
      </w:pPr>
      <w:r>
        <w:rPr>
          <w:rFonts w:ascii="Arial" w:hAnsi="Arial"/>
          <w:color w:val="333333"/>
          <w:sz w:val="21"/>
        </w:rPr>
        <w:t>---</w:t>
      </w:r>
    </w:p>
    <w:p>
      <w:pPr>
        <w:keepNext/>
        <w:spacing w:before="360" w:after="160"/>
      </w:pPr>
      <w:r>
        <w:rPr>
          <w:b/>
          <w:color w:val="1B365D"/>
          <w:sz w:val="32"/>
        </w:rPr>
        <w:t>11. Missing Diagrams</w:t>
      </w:r>
    </w:p>
    <w:p>
      <w:pPr>
        <w:pStyle w:val="ListBullet"/>
        <w:spacing w:after="60"/>
      </w:pPr>
      <w:r>
        <w:rPr>
          <w:rFonts w:ascii="Arial" w:hAnsi="Arial"/>
          <w:color w:val="333333"/>
          <w:sz w:val="21"/>
        </w:rPr>
        <w:t xml:space="preserve">  </w:t>
      </w:r>
      <w:r>
        <w:rPr>
          <w:rFonts w:ascii="Arial" w:hAnsi="Arial"/>
          <w:b/>
          <w:color w:val="333333"/>
          <w:sz w:val="21"/>
        </w:rPr>
        <w:t>Network Topology Map:</w:t>
      </w:r>
      <w:r>
        <w:rPr>
          <w:rFonts w:ascii="Arial" w:hAnsi="Arial"/>
          <w:color w:val="333333"/>
          <w:sz w:val="21"/>
        </w:rPr>
        <w:t xml:space="preserve"> Missing visual mapping of how a multi-node distributed deployment would route traffic.</w:t>
      </w:r>
    </w:p>
    <w:p>
      <w:pPr>
        <w:pStyle w:val="ListBullet"/>
        <w:spacing w:after="60"/>
      </w:pPr>
      <w:r>
        <w:rPr>
          <w:rFonts w:ascii="Arial" w:hAnsi="Arial"/>
          <w:color w:val="333333"/>
          <w:sz w:val="21"/>
        </w:rPr>
        <w:t xml:space="preserve">  </w:t>
      </w:r>
      <w:r>
        <w:rPr>
          <w:rFonts w:ascii="Arial" w:hAnsi="Arial"/>
          <w:b/>
          <w:color w:val="333333"/>
          <w:sz w:val="21"/>
        </w:rPr>
        <w:t>Database ERD:</w:t>
      </w:r>
      <w:r>
        <w:rPr>
          <w:rFonts w:ascii="Arial" w:hAnsi="Arial"/>
          <w:color w:val="333333"/>
          <w:sz w:val="21"/>
        </w:rPr>
        <w:t xml:space="preserve"> Missing Entity-Relationship Diagram for SQLite/Vector memory persistence.</w:t>
      </w:r>
    </w:p>
    <w:p>
      <w:pPr>
        <w:pStyle w:val="ListBullet"/>
        <w:spacing w:after="60"/>
      </w:pPr>
      <w:r>
        <w:rPr>
          <w:rFonts w:ascii="Arial" w:hAnsi="Arial"/>
          <w:color w:val="333333"/>
          <w:sz w:val="21"/>
        </w:rPr>
        <w:t xml:space="preserve">  </w:t>
      </w:r>
      <w:r>
        <w:rPr>
          <w:rFonts w:ascii="Arial" w:hAnsi="Arial"/>
          <w:i/>
          <w:color w:val="333333"/>
          <w:sz w:val="21"/>
        </w:rPr>
        <w:t>Action:</w:t>
      </w:r>
      <w:r>
        <w:rPr>
          <w:rFonts w:ascii="Arial" w:hAnsi="Arial"/>
          <w:color w:val="333333"/>
          <w:sz w:val="21"/>
        </w:rPr>
        <w:t xml:space="preserve"> To be embedded within `NOVA-SPEC-014` (Memory) and `NOVA-SPEC-012` (Deployment).</w:t>
      </w:r>
    </w:p>
    <w:p>
      <w:pPr>
        <w:spacing w:after="120" w:line="276" w:lineRule="auto"/>
      </w:pPr>
      <w:r>
        <w:rPr>
          <w:rFonts w:ascii="Arial" w:hAnsi="Arial"/>
          <w:color w:val="333333"/>
          <w:sz w:val="21"/>
        </w:rPr>
        <w:t>---</w:t>
      </w:r>
    </w:p>
    <w:p>
      <w:pPr>
        <w:keepNext/>
        <w:spacing w:before="360" w:after="160"/>
      </w:pPr>
      <w:r>
        <w:rPr>
          <w:b/>
          <w:color w:val="1B365D"/>
          <w:sz w:val="32"/>
        </w:rPr>
        <w:t>12. Missing ADRs</w:t>
      </w:r>
    </w:p>
    <w:p>
      <w:pPr>
        <w:spacing w:after="120" w:line="276" w:lineRule="auto"/>
      </w:pPr>
      <w:r>
        <w:rPr>
          <w:rFonts w:ascii="Arial" w:hAnsi="Arial"/>
          <w:color w:val="333333"/>
          <w:sz w:val="21"/>
        </w:rPr>
        <w:t>We are missing Architecture Decision Records for crucial upcoming implementation choices:</w:t>
      </w:r>
    </w:p>
    <w:p>
      <w:pPr>
        <w:pStyle w:val="ListBullet"/>
        <w:spacing w:after="60"/>
      </w:pPr>
      <w:r>
        <w:rPr>
          <w:rFonts w:ascii="Arial" w:hAnsi="Arial"/>
          <w:color w:val="333333"/>
          <w:sz w:val="21"/>
        </w:rPr>
        <w:t xml:space="preserve">  </w:t>
      </w:r>
      <w:r>
        <w:rPr>
          <w:rFonts w:ascii="Arial" w:hAnsi="Arial"/>
          <w:b/>
          <w:color w:val="333333"/>
          <w:sz w:val="21"/>
        </w:rPr>
        <w:t>NOVA-ADR-009:</w:t>
      </w:r>
      <w:r>
        <w:rPr>
          <w:rFonts w:ascii="Arial" w:hAnsi="Arial"/>
          <w:color w:val="333333"/>
          <w:sz w:val="21"/>
        </w:rPr>
        <w:t xml:space="preserve"> Concrete Event Bus Technology (asyncio vs Redis).</w:t>
      </w:r>
    </w:p>
    <w:p>
      <w:pPr>
        <w:pStyle w:val="ListBullet"/>
        <w:spacing w:after="60"/>
      </w:pPr>
      <w:r>
        <w:rPr>
          <w:rFonts w:ascii="Arial" w:hAnsi="Arial"/>
          <w:color w:val="333333"/>
          <w:sz w:val="21"/>
        </w:rPr>
        <w:t xml:space="preserve">  </w:t>
      </w:r>
      <w:r>
        <w:rPr>
          <w:rFonts w:ascii="Arial" w:hAnsi="Arial"/>
          <w:b/>
          <w:color w:val="333333"/>
          <w:sz w:val="21"/>
        </w:rPr>
        <w:t>NOVA-ADR-010:</w:t>
      </w:r>
      <w:r>
        <w:rPr>
          <w:rFonts w:ascii="Arial" w:hAnsi="Arial"/>
          <w:color w:val="333333"/>
          <w:sz w:val="21"/>
        </w:rPr>
        <w:t xml:space="preserve"> Dependency Injection Framework (Manual vs dependency-injector).</w:t>
      </w:r>
    </w:p>
    <w:p>
      <w:pPr>
        <w:pStyle w:val="ListBullet"/>
        <w:spacing w:after="60"/>
      </w:pPr>
      <w:r>
        <w:rPr>
          <w:rFonts w:ascii="Arial" w:hAnsi="Arial"/>
          <w:color w:val="333333"/>
          <w:sz w:val="21"/>
        </w:rPr>
        <w:t xml:space="preserve">  </w:t>
      </w:r>
      <w:r>
        <w:rPr>
          <w:rFonts w:ascii="Arial" w:hAnsi="Arial"/>
          <w:b/>
          <w:color w:val="333333"/>
          <w:sz w:val="21"/>
        </w:rPr>
        <w:t>NOVA-ADR-011:</w:t>
      </w:r>
      <w:r>
        <w:rPr>
          <w:rFonts w:ascii="Arial" w:hAnsi="Arial"/>
          <w:color w:val="333333"/>
          <w:sz w:val="21"/>
        </w:rPr>
        <w:t xml:space="preserve"> UI Framework for Presentation Layer (PyQt vs Electron vs Web UI).</w:t>
      </w:r>
    </w:p>
    <w:p>
      <w:pPr>
        <w:pStyle w:val="ListBullet"/>
        <w:spacing w:after="60"/>
      </w:pPr>
      <w:r>
        <w:rPr>
          <w:rFonts w:ascii="Arial" w:hAnsi="Arial"/>
          <w:color w:val="333333"/>
          <w:sz w:val="21"/>
        </w:rPr>
        <w:t xml:space="preserve">  </w:t>
      </w:r>
      <w:r>
        <w:rPr>
          <w:rFonts w:ascii="Arial" w:hAnsi="Arial"/>
          <w:i/>
          <w:color w:val="333333"/>
          <w:sz w:val="21"/>
        </w:rPr>
        <w:t>Priority:</w:t>
      </w:r>
      <w:r>
        <w:rPr>
          <w:rFonts w:ascii="Arial" w:hAnsi="Arial"/>
          <w:color w:val="333333"/>
          <w:sz w:val="21"/>
        </w:rPr>
        <w:t xml:space="preserve"> MEDIUM (Draft concurrently with Milestone 2 implementation).</w:t>
      </w:r>
    </w:p>
    <w:p>
      <w:pPr>
        <w:spacing w:after="120" w:line="276" w:lineRule="auto"/>
      </w:pPr>
      <w:r>
        <w:rPr>
          <w:rFonts w:ascii="Arial" w:hAnsi="Arial"/>
          <w:color w:val="333333"/>
          <w:sz w:val="21"/>
        </w:rPr>
        <w:t>---</w:t>
      </w:r>
    </w:p>
    <w:p>
      <w:pPr>
        <w:keepNext/>
        <w:spacing w:before="360" w:after="160"/>
      </w:pPr>
      <w:r>
        <w:rPr>
          <w:b/>
          <w:color w:val="1B365D"/>
          <w:sz w:val="32"/>
        </w:rPr>
        <w:t>13. Missing Repository Standards</w:t>
      </w:r>
    </w:p>
    <w:p>
      <w:pPr>
        <w:keepNext/>
        <w:spacing w:before="280" w:after="120"/>
      </w:pPr>
      <w:r>
        <w:rPr>
          <w:b/>
          <w:color w:val="4B6B94"/>
          <w:sz w:val="26"/>
        </w:rPr>
        <w:t>Structure &amp; Linting</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Repository Linting &amp; Directory Standards</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NOVA-ENG-004</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Define pre-commit hooks, Flake8/Black settings, and strict namespace directory policing.</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NOVA-ENG-001</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HIGH</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9</w:t>
      </w:r>
    </w:p>
    <w:p>
      <w:pPr>
        <w:spacing w:after="120" w:line="276" w:lineRule="auto"/>
      </w:pPr>
      <w:r>
        <w:rPr>
          <w:rFonts w:ascii="Arial" w:hAnsi="Arial"/>
          <w:color w:val="333333"/>
          <w:sz w:val="21"/>
        </w:rPr>
        <w:t>---</w:t>
      </w:r>
    </w:p>
    <w:p>
      <w:pPr>
        <w:keepNext/>
        <w:spacing w:before="360" w:after="160"/>
      </w:pPr>
      <w:r>
        <w:rPr>
          <w:b/>
          <w:color w:val="1B365D"/>
          <w:sz w:val="32"/>
        </w:rPr>
        <w:t>14. Missing Coding Standards</w:t>
      </w:r>
    </w:p>
    <w:p>
      <w:pPr>
        <w:keepNext/>
        <w:spacing w:before="280" w:after="120"/>
      </w:pPr>
      <w:r>
        <w:rPr>
          <w:b/>
          <w:color w:val="4B6B94"/>
          <w:sz w:val="26"/>
        </w:rPr>
        <w:t>Python Style Guide</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Python Core Coding Guidelines</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NOVA-ENG-005</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Mandate async/await paradigms, strict `typing` hints, exception hierarchy, and docstring formats (e.g. Google format).</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None</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HIGH</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12</w:t>
      </w:r>
    </w:p>
    <w:p>
      <w:pPr>
        <w:spacing w:after="120" w:line="276" w:lineRule="auto"/>
      </w:pPr>
      <w:r>
        <w:rPr>
          <w:rFonts w:ascii="Arial" w:hAnsi="Arial"/>
          <w:color w:val="333333"/>
          <w:sz w:val="21"/>
        </w:rPr>
        <w:t>---</w:t>
      </w:r>
    </w:p>
    <w:p>
      <w:pPr>
        <w:keepNext/>
        <w:spacing w:before="360" w:after="160"/>
      </w:pPr>
      <w:r>
        <w:rPr>
          <w:b/>
          <w:color w:val="1B365D"/>
          <w:sz w:val="32"/>
        </w:rPr>
        <w:t>15. Missing CI/CD Standards</w:t>
      </w:r>
    </w:p>
    <w:p>
      <w:pPr>
        <w:keepNext/>
        <w:spacing w:before="280" w:after="120"/>
      </w:pPr>
      <w:r>
        <w:rPr>
          <w:b/>
          <w:color w:val="4B6B94"/>
          <w:sz w:val="26"/>
        </w:rPr>
        <w:t>Pipeline Automation</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CI/CD Automation Standards</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NOVA-ENG-006</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Define GitHub Actions workflows for PR validation, automated testing, safety scans, and nightly builds.</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NOVA-ENG-003 (Testing)</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MEDIUM</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18</w:t>
      </w:r>
    </w:p>
    <w:p>
      <w:pPr>
        <w:spacing w:after="120" w:line="276" w:lineRule="auto"/>
      </w:pPr>
      <w:r>
        <w:rPr>
          <w:rFonts w:ascii="Arial" w:hAnsi="Arial"/>
          <w:color w:val="333333"/>
          <w:sz w:val="21"/>
        </w:rPr>
        <w:t>---</w:t>
      </w:r>
    </w:p>
    <w:p>
      <w:pPr>
        <w:keepNext/>
        <w:spacing w:before="360" w:after="160"/>
      </w:pPr>
      <w:r>
        <w:rPr>
          <w:b/>
          <w:color w:val="1B365D"/>
          <w:sz w:val="32"/>
        </w:rPr>
        <w:t>16. Missing Plugin Standards</w:t>
      </w:r>
    </w:p>
    <w:p>
      <w:pPr>
        <w:keepNext/>
        <w:spacing w:before="280" w:after="120"/>
      </w:pPr>
      <w:r>
        <w:rPr>
          <w:b/>
          <w:color w:val="4B6B94"/>
          <w:sz w:val="26"/>
        </w:rPr>
        <w:t>Plugin Manifest Schema</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Plugin Sandbox &amp; Manifest Standards</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NOVA-ENG-007</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Define the exact `manifest.json` schema required to register a 3rd party capability, including required sandbox permissions.</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NOVA-SPEC-013</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LOW</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19</w:t>
      </w:r>
    </w:p>
    <w:p>
      <w:pPr>
        <w:spacing w:after="120" w:line="276" w:lineRule="auto"/>
      </w:pPr>
      <w:r>
        <w:rPr>
          <w:rFonts w:ascii="Arial" w:hAnsi="Arial"/>
          <w:color w:val="333333"/>
          <w:sz w:val="21"/>
        </w:rPr>
        <w:t>---</w:t>
      </w:r>
    </w:p>
    <w:p>
      <w:pPr>
        <w:keepNext/>
        <w:spacing w:before="360" w:after="160"/>
      </w:pPr>
      <w:r>
        <w:rPr>
          <w:b/>
          <w:color w:val="1B365D"/>
          <w:sz w:val="32"/>
        </w:rPr>
        <w:t>17. Missing Provider Standards</w:t>
      </w:r>
    </w:p>
    <w:p>
      <w:pPr>
        <w:keepNext/>
        <w:spacing w:before="280" w:after="120"/>
      </w:pPr>
      <w:r>
        <w:rPr>
          <w:b/>
          <w:color w:val="4B6B94"/>
          <w:sz w:val="26"/>
        </w:rPr>
        <w:t>Provider Abstraction Contracts</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Provider Interface Definitions</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NOVA-ENG-008</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Low-level specification of the abstract base classes for LLMs, OCR, and TTS/STT engines to guarantee swappability.</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NOVA-SPEC-003, NOVA-ADR-005</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HIGH</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13</w:t>
      </w:r>
    </w:p>
    <w:p>
      <w:pPr>
        <w:spacing w:after="120" w:line="276" w:lineRule="auto"/>
      </w:pPr>
      <w:r>
        <w:rPr>
          <w:rFonts w:ascii="Arial" w:hAnsi="Arial"/>
          <w:color w:val="333333"/>
          <w:sz w:val="21"/>
        </w:rPr>
        <w:t>---</w:t>
      </w:r>
    </w:p>
    <w:p>
      <w:pPr>
        <w:keepNext/>
        <w:spacing w:before="360" w:after="160"/>
      </w:pPr>
      <w:r>
        <w:rPr>
          <w:b/>
          <w:color w:val="1B365D"/>
          <w:sz w:val="32"/>
        </w:rPr>
        <w:t>18. Missing Interface Specifications</w:t>
      </w:r>
    </w:p>
    <w:p>
      <w:pPr>
        <w:keepNext/>
        <w:spacing w:before="280" w:after="120"/>
      </w:pPr>
      <w:r>
        <w:rPr>
          <w:b/>
          <w:color w:val="4B6B94"/>
          <w:sz w:val="26"/>
        </w:rPr>
        <w:t>Orchestration IDL</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Core Abstract Interface Definition Language (IDL)</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NOVA-ENG-009</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Centralize the raw Python Abstract Base Classes (ABCs) for `IKernel`, `ICapability`, `IEventBus`, `IPlanner` before coding begins.</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NOVA-SPEC-009</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CRITICAL</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14</w:t>
      </w:r>
    </w:p>
    <w:p>
      <w:pPr>
        <w:spacing w:after="120" w:line="276" w:lineRule="auto"/>
      </w:pPr>
      <w:r>
        <w:rPr>
          <w:rFonts w:ascii="Arial" w:hAnsi="Arial"/>
          <w:color w:val="333333"/>
          <w:sz w:val="21"/>
        </w:rPr>
        <w:t>---</w:t>
      </w:r>
    </w:p>
    <w:p>
      <w:pPr>
        <w:keepNext/>
        <w:spacing w:before="360" w:after="160"/>
      </w:pPr>
      <w:r>
        <w:rPr>
          <w:b/>
          <w:color w:val="1B365D"/>
          <w:sz w:val="32"/>
        </w:rPr>
        <w:t>19. Missing Observability Specifications</w:t>
      </w:r>
    </w:p>
    <w:p>
      <w:pPr>
        <w:keepNext/>
        <w:spacing w:before="280" w:after="120"/>
      </w:pPr>
      <w:r>
        <w:rPr>
          <w:b/>
          <w:color w:val="4B6B94"/>
          <w:sz w:val="26"/>
        </w:rPr>
        <w:t>Telemetry &amp; Tracing</w:t>
      </w:r>
    </w:p>
    <w:p>
      <w:pPr>
        <w:pStyle w:val="ListBullet"/>
        <w:spacing w:after="60"/>
      </w:pPr>
      <w:r>
        <w:rPr>
          <w:rFonts w:ascii="Arial" w:hAnsi="Arial"/>
          <w:color w:val="333333"/>
          <w:sz w:val="21"/>
        </w:rPr>
        <w:t xml:space="preserve">  </w:t>
      </w:r>
      <w:r>
        <w:rPr>
          <w:rFonts w:ascii="Arial" w:hAnsi="Arial"/>
          <w:b/>
          <w:color w:val="333333"/>
          <w:sz w:val="21"/>
        </w:rPr>
        <w:t>Suggested Name:</w:t>
      </w:r>
      <w:r>
        <w:rPr>
          <w:rFonts w:ascii="Arial" w:hAnsi="Arial"/>
          <w:color w:val="333333"/>
          <w:sz w:val="21"/>
        </w:rPr>
        <w:t xml:space="preserve"> Observability &amp; Telemetry Specification</w:t>
      </w:r>
    </w:p>
    <w:p>
      <w:pPr>
        <w:pStyle w:val="ListBullet"/>
        <w:spacing w:after="60"/>
      </w:pPr>
      <w:r>
        <w:rPr>
          <w:rFonts w:ascii="Arial" w:hAnsi="Arial"/>
          <w:color w:val="333333"/>
          <w:sz w:val="21"/>
        </w:rPr>
        <w:t xml:space="preserve">  </w:t>
      </w:r>
      <w:r>
        <w:rPr>
          <w:rFonts w:ascii="Arial" w:hAnsi="Arial"/>
          <w:b/>
          <w:color w:val="333333"/>
          <w:sz w:val="21"/>
        </w:rPr>
        <w:t>Document ID:</w:t>
      </w:r>
      <w:r>
        <w:rPr>
          <w:rFonts w:ascii="Arial" w:hAnsi="Arial"/>
          <w:color w:val="333333"/>
          <w:sz w:val="21"/>
        </w:rPr>
        <w:t xml:space="preserve"> NOVA-SPEC-018</w:t>
      </w:r>
    </w:p>
    <w:p>
      <w:pPr>
        <w:pStyle w:val="ListBullet"/>
        <w:spacing w:after="60"/>
      </w:pPr>
      <w:r>
        <w:rPr>
          <w:rFonts w:ascii="Arial" w:hAnsi="Arial"/>
          <w:color w:val="333333"/>
          <w:sz w:val="21"/>
        </w:rPr>
        <w:t xml:space="preserve">  </w:t>
      </w:r>
      <w:r>
        <w:rPr>
          <w:rFonts w:ascii="Arial" w:hAnsi="Arial"/>
          <w:b/>
          <w:color w:val="333333"/>
          <w:sz w:val="21"/>
        </w:rPr>
        <w:t>Purpose:</w:t>
      </w:r>
      <w:r>
        <w:rPr>
          <w:rFonts w:ascii="Arial" w:hAnsi="Arial"/>
          <w:color w:val="333333"/>
          <w:sz w:val="21"/>
        </w:rPr>
        <w:t xml:space="preserve"> Define structured JSON logging, distributed correlation IDs, and Prometheus metrics exporting.</w:t>
      </w:r>
    </w:p>
    <w:p>
      <w:pPr>
        <w:pStyle w:val="ListBullet"/>
        <w:spacing w:after="60"/>
      </w:pPr>
      <w:r>
        <w:rPr>
          <w:rFonts w:ascii="Arial" w:hAnsi="Arial"/>
          <w:color w:val="333333"/>
          <w:sz w:val="21"/>
        </w:rPr>
        <w:t xml:space="preserve">  </w:t>
      </w:r>
      <w:r>
        <w:rPr>
          <w:rFonts w:ascii="Arial" w:hAnsi="Arial"/>
          <w:b/>
          <w:color w:val="333333"/>
          <w:sz w:val="21"/>
        </w:rPr>
        <w:t>Dependencies:</w:t>
      </w:r>
      <w:r>
        <w:rPr>
          <w:rFonts w:ascii="Arial" w:hAnsi="Arial"/>
          <w:color w:val="333333"/>
          <w:sz w:val="21"/>
        </w:rPr>
        <w:t xml:space="preserve"> NOVA-SPEC-010</w:t>
      </w:r>
    </w:p>
    <w:p>
      <w:pPr>
        <w:pStyle w:val="ListBullet"/>
        <w:spacing w:after="60"/>
      </w:pPr>
      <w:r>
        <w:rPr>
          <w:rFonts w:ascii="Arial" w:hAnsi="Arial"/>
          <w:color w:val="333333"/>
          <w:sz w:val="21"/>
        </w:rPr>
        <w:t xml:space="preserve">  </w:t>
      </w:r>
      <w:r>
        <w:rPr>
          <w:rFonts w:ascii="Arial" w:hAnsi="Arial"/>
          <w:b/>
          <w:color w:val="333333"/>
          <w:sz w:val="21"/>
        </w:rPr>
        <w:t>Priority:</w:t>
      </w:r>
      <w:r>
        <w:rPr>
          <w:rFonts w:ascii="Arial" w:hAnsi="Arial"/>
          <w:color w:val="333333"/>
          <w:sz w:val="21"/>
        </w:rPr>
        <w:t xml:space="preserve"> MEDIUM</w:t>
      </w:r>
    </w:p>
    <w:p>
      <w:pPr>
        <w:pStyle w:val="ListBullet"/>
        <w:spacing w:after="60"/>
      </w:pPr>
      <w:r>
        <w:rPr>
          <w:rFonts w:ascii="Arial" w:hAnsi="Arial"/>
          <w:color w:val="333333"/>
          <w:sz w:val="21"/>
        </w:rPr>
        <w:t xml:space="preserve">  </w:t>
      </w:r>
      <w:r>
        <w:rPr>
          <w:rFonts w:ascii="Arial" w:hAnsi="Arial"/>
          <w:b/>
          <w:color w:val="333333"/>
          <w:sz w:val="21"/>
        </w:rPr>
        <w:t>Recommended Order:</w:t>
      </w:r>
      <w:r>
        <w:rPr>
          <w:rFonts w:ascii="Arial" w:hAnsi="Arial"/>
          <w:color w:val="333333"/>
          <w:sz w:val="21"/>
        </w:rPr>
        <w:t xml:space="preserve"> 20</w:t>
      </w:r>
    </w:p>
    <w:p>
      <w:pPr>
        <w:spacing w:after="120" w:line="276" w:lineRule="auto"/>
      </w:pPr>
      <w:r>
        <w:rPr>
          <w:rFonts w:ascii="Arial" w:hAnsi="Arial"/>
          <w:color w:val="333333"/>
          <w:sz w:val="21"/>
        </w:rPr>
        <w:t>---</w:t>
      </w:r>
    </w:p>
    <w:p>
      <w:pPr>
        <w:keepNext/>
        <w:spacing w:before="360" w:after="160"/>
      </w:pPr>
      <w:r>
        <w:rPr>
          <w:b/>
          <w:color w:val="1B365D"/>
          <w:sz w:val="32"/>
        </w:rPr>
        <w:t>20. Recommended Engineering Roadmap</w:t>
      </w:r>
    </w:p>
    <w:p>
      <w:pPr>
        <w:spacing w:after="120" w:line="276" w:lineRule="auto"/>
      </w:pPr>
      <w:r>
        <w:rPr>
          <w:rFonts w:ascii="Arial" w:hAnsi="Arial"/>
          <w:color w:val="333333"/>
          <w:sz w:val="21"/>
        </w:rPr>
        <w:t>Based on the missing documents above, here is the immediate implementation roadmap for completing the architectural phase before coding begins:</w:t>
      </w:r>
    </w:p>
    <w:p>
      <w:pPr>
        <w:keepNext/>
        <w:spacing w:before="280" w:after="120"/>
      </w:pPr>
      <w:r>
        <w:rPr>
          <w:b/>
          <w:color w:val="4B6B94"/>
          <w:sz w:val="26"/>
        </w:rPr>
        <w:t>Phase 1: Core Orchestration Finalization</w:t>
      </w:r>
    </w:p>
    <w:p>
      <w:pPr>
        <w:pStyle w:val="ListNumber"/>
        <w:spacing w:after="60"/>
      </w:pPr>
      <w:r>
        <w:rPr>
          <w:rFonts w:ascii="Arial" w:hAnsi="Arial"/>
          <w:b/>
          <w:color w:val="333333"/>
          <w:sz w:val="21"/>
        </w:rPr>
        <w:t>NOVA-ENG-001:</w:t>
      </w:r>
      <w:r>
        <w:rPr>
          <w:rFonts w:ascii="Arial" w:hAnsi="Arial"/>
          <w:color w:val="333333"/>
          <w:sz w:val="21"/>
        </w:rPr>
        <w:t xml:space="preserve"> Software Engineering Standards &amp; Practices</w:t>
      </w:r>
    </w:p>
    <w:p>
      <w:pPr>
        <w:pStyle w:val="ListNumber"/>
        <w:spacing w:after="60"/>
      </w:pPr>
      <w:r>
        <w:rPr>
          <w:rFonts w:ascii="Arial" w:hAnsi="Arial"/>
          <w:b/>
          <w:color w:val="333333"/>
          <w:sz w:val="21"/>
        </w:rPr>
        <w:t>NOVA-ENG-002:</w:t>
      </w:r>
      <w:r>
        <w:rPr>
          <w:rFonts w:ascii="Arial" w:hAnsi="Arial"/>
          <w:color w:val="333333"/>
          <w:sz w:val="21"/>
        </w:rPr>
        <w:t xml:space="preserve"> Source Control &amp; Branching Strategy</w:t>
      </w:r>
    </w:p>
    <w:p>
      <w:pPr>
        <w:pStyle w:val="ListNumber"/>
        <w:spacing w:after="60"/>
      </w:pPr>
      <w:r>
        <w:rPr>
          <w:rFonts w:ascii="Arial" w:hAnsi="Arial"/>
          <w:b/>
          <w:color w:val="333333"/>
          <w:sz w:val="21"/>
        </w:rPr>
        <w:t>NOVA-SPEC-011:</w:t>
      </w:r>
      <w:r>
        <w:rPr>
          <w:rFonts w:ascii="Arial" w:hAnsi="Arial"/>
          <w:color w:val="333333"/>
          <w:sz w:val="21"/>
        </w:rPr>
        <w:t xml:space="preserve"> Security Policy &amp; Permissions Specification (Critical path for Kernel)</w:t>
      </w:r>
    </w:p>
    <w:p>
      <w:pPr>
        <w:pStyle w:val="ListNumber"/>
        <w:spacing w:after="60"/>
      </w:pPr>
      <w:r>
        <w:rPr>
          <w:rFonts w:ascii="Arial" w:hAnsi="Arial"/>
          <w:b/>
          <w:color w:val="333333"/>
          <w:sz w:val="21"/>
        </w:rPr>
        <w:t>NOVA-SPEC-013:</w:t>
      </w:r>
      <w:r>
        <w:rPr>
          <w:rFonts w:ascii="Arial" w:hAnsi="Arial"/>
          <w:color w:val="333333"/>
          <w:sz w:val="21"/>
        </w:rPr>
        <w:t xml:space="preserve"> Plugin &amp; Extension Framework Specification</w:t>
      </w:r>
    </w:p>
    <w:p>
      <w:pPr>
        <w:pStyle w:val="ListNumber"/>
        <w:spacing w:after="60"/>
      </w:pPr>
      <w:r>
        <w:rPr>
          <w:rFonts w:ascii="Arial" w:hAnsi="Arial"/>
          <w:b/>
          <w:color w:val="333333"/>
          <w:sz w:val="21"/>
        </w:rPr>
        <w:t>NOVA-SPEC-014:</w:t>
      </w:r>
      <w:r>
        <w:rPr>
          <w:rFonts w:ascii="Arial" w:hAnsi="Arial"/>
          <w:color w:val="333333"/>
          <w:sz w:val="21"/>
        </w:rPr>
        <w:t xml:space="preserve"> Persistent Memory Architecture Specification</w:t>
      </w:r>
    </w:p>
    <w:p>
      <w:pPr>
        <w:pStyle w:val="ListNumber"/>
        <w:spacing w:after="60"/>
      </w:pPr>
      <w:r>
        <w:rPr>
          <w:rFonts w:ascii="Arial" w:hAnsi="Arial"/>
          <w:b/>
          <w:color w:val="333333"/>
          <w:sz w:val="21"/>
        </w:rPr>
        <w:t>NOVA-SPEC-015:</w:t>
      </w:r>
      <w:r>
        <w:rPr>
          <w:rFonts w:ascii="Arial" w:hAnsi="Arial"/>
          <w:color w:val="333333"/>
          <w:sz w:val="21"/>
        </w:rPr>
        <w:t xml:space="preserve"> Execution Pipeline Specification</w:t>
      </w:r>
    </w:p>
    <w:p>
      <w:pPr>
        <w:keepNext/>
        <w:spacing w:before="280" w:after="120"/>
      </w:pPr>
      <w:r>
        <w:rPr>
          <w:b/>
          <w:color w:val="4B6B94"/>
          <w:sz w:val="26"/>
        </w:rPr>
        <w:t>Phase 2: Engineering Guardrails</w:t>
      </w:r>
    </w:p>
    <w:p>
      <w:pPr>
        <w:pStyle w:val="ListNumber"/>
        <w:spacing w:after="60"/>
      </w:pPr>
      <w:r>
        <w:rPr>
          <w:rFonts w:ascii="Arial" w:hAnsi="Arial"/>
          <w:b/>
          <w:color w:val="333333"/>
          <w:sz w:val="21"/>
        </w:rPr>
        <w:t>NOVA-ENG-003:</w:t>
      </w:r>
      <w:r>
        <w:rPr>
          <w:rFonts w:ascii="Arial" w:hAnsi="Arial"/>
          <w:color w:val="333333"/>
          <w:sz w:val="21"/>
        </w:rPr>
        <w:t xml:space="preserve"> Automated Testing &amp; QA Specification</w:t>
      </w:r>
    </w:p>
    <w:p>
      <w:pPr>
        <w:pStyle w:val="ListNumber"/>
        <w:spacing w:after="60"/>
      </w:pPr>
      <w:r>
        <w:rPr>
          <w:rFonts w:ascii="Arial" w:hAnsi="Arial"/>
          <w:b/>
          <w:color w:val="333333"/>
          <w:sz w:val="21"/>
        </w:rPr>
        <w:t>NOVA-DEV-001:</w:t>
      </w:r>
      <w:r>
        <w:rPr>
          <w:rFonts w:ascii="Arial" w:hAnsi="Arial"/>
          <w:color w:val="333333"/>
          <w:sz w:val="21"/>
        </w:rPr>
        <w:t xml:space="preserve"> Developer Onboarding &amp; Local Setup Guide</w:t>
      </w:r>
    </w:p>
    <w:p>
      <w:pPr>
        <w:pStyle w:val="ListNumber"/>
        <w:spacing w:after="60"/>
      </w:pPr>
      <w:r>
        <w:rPr>
          <w:rFonts w:ascii="Arial" w:hAnsi="Arial"/>
          <w:b/>
          <w:color w:val="333333"/>
          <w:sz w:val="21"/>
        </w:rPr>
        <w:t>NOVA-ENG-004:</w:t>
      </w:r>
      <w:r>
        <w:rPr>
          <w:rFonts w:ascii="Arial" w:hAnsi="Arial"/>
          <w:color w:val="333333"/>
          <w:sz w:val="21"/>
        </w:rPr>
        <w:t xml:space="preserve"> Repository Linting &amp; Directory Standards</w:t>
      </w:r>
    </w:p>
    <w:p>
      <w:pPr>
        <w:pStyle w:val="ListNumber"/>
        <w:spacing w:after="60"/>
      </w:pPr>
      <w:r>
        <w:rPr>
          <w:rFonts w:ascii="Arial" w:hAnsi="Arial"/>
          <w:b/>
          <w:color w:val="333333"/>
          <w:sz w:val="21"/>
        </w:rPr>
        <w:t>NOVA-SPEC-016:</w:t>
      </w:r>
      <w:r>
        <w:rPr>
          <w:rFonts w:ascii="Arial" w:hAnsi="Arial"/>
          <w:color w:val="333333"/>
          <w:sz w:val="21"/>
        </w:rPr>
        <w:t xml:space="preserve"> Terminal Capability Specification</w:t>
      </w:r>
    </w:p>
    <w:p>
      <w:pPr>
        <w:pStyle w:val="ListNumber"/>
        <w:spacing w:after="60"/>
      </w:pPr>
      <w:r>
        <w:rPr>
          <w:rFonts w:ascii="Arial" w:hAnsi="Arial"/>
          <w:b/>
          <w:color w:val="333333"/>
          <w:sz w:val="21"/>
        </w:rPr>
        <w:t>NOVA-SPEC-017:</w:t>
      </w:r>
      <w:r>
        <w:rPr>
          <w:rFonts w:ascii="Arial" w:hAnsi="Arial"/>
          <w:color w:val="333333"/>
          <w:sz w:val="21"/>
        </w:rPr>
        <w:t xml:space="preserve"> File System Capability Specification</w:t>
      </w:r>
    </w:p>
    <w:p>
      <w:pPr>
        <w:keepNext/>
        <w:spacing w:before="280" w:after="120"/>
      </w:pPr>
      <w:r>
        <w:rPr>
          <w:b/>
          <w:color w:val="4B6B94"/>
          <w:sz w:val="26"/>
        </w:rPr>
        <w:t>Phase 3: Pre-Implementation Standards</w:t>
      </w:r>
    </w:p>
    <w:p>
      <w:pPr>
        <w:pStyle w:val="ListNumber"/>
        <w:spacing w:after="60"/>
      </w:pPr>
      <w:r>
        <w:rPr>
          <w:rFonts w:ascii="Arial" w:hAnsi="Arial"/>
          <w:b/>
          <w:color w:val="333333"/>
          <w:sz w:val="21"/>
        </w:rPr>
        <w:t>NOVA-ENG-005:</w:t>
      </w:r>
      <w:r>
        <w:rPr>
          <w:rFonts w:ascii="Arial" w:hAnsi="Arial"/>
          <w:color w:val="333333"/>
          <w:sz w:val="21"/>
        </w:rPr>
        <w:t xml:space="preserve"> Python Core Coding Guidelines</w:t>
      </w:r>
    </w:p>
    <w:p>
      <w:pPr>
        <w:pStyle w:val="ListNumber"/>
        <w:spacing w:after="60"/>
      </w:pPr>
      <w:r>
        <w:rPr>
          <w:rFonts w:ascii="Arial" w:hAnsi="Arial"/>
          <w:b/>
          <w:color w:val="333333"/>
          <w:sz w:val="21"/>
        </w:rPr>
        <w:t>NOVA-ENG-008:</w:t>
      </w:r>
      <w:r>
        <w:rPr>
          <w:rFonts w:ascii="Arial" w:hAnsi="Arial"/>
          <w:color w:val="333333"/>
          <w:sz w:val="21"/>
        </w:rPr>
        <w:t xml:space="preserve"> Provider Interface Definitions</w:t>
      </w:r>
    </w:p>
    <w:p>
      <w:pPr>
        <w:pStyle w:val="ListNumber"/>
        <w:spacing w:after="60"/>
      </w:pPr>
      <w:r>
        <w:rPr>
          <w:rFonts w:ascii="Arial" w:hAnsi="Arial"/>
          <w:b/>
          <w:color w:val="333333"/>
          <w:sz w:val="21"/>
        </w:rPr>
        <w:t>NOVA-ENG-009:</w:t>
      </w:r>
      <w:r>
        <w:rPr>
          <w:rFonts w:ascii="Arial" w:hAnsi="Arial"/>
          <w:color w:val="333333"/>
          <w:sz w:val="21"/>
        </w:rPr>
        <w:t xml:space="preserve"> Core Abstract Interface Definition Language (IDL)</w:t>
      </w:r>
    </w:p>
    <w:p>
      <w:pPr>
        <w:pStyle w:val="ListNumber"/>
        <w:spacing w:after="60"/>
      </w:pPr>
      <w:r>
        <w:rPr>
          <w:rFonts w:ascii="Arial" w:hAnsi="Arial"/>
          <w:b/>
          <w:color w:val="333333"/>
          <w:sz w:val="21"/>
        </w:rPr>
        <w:t>NOVA-SEC-001:</w:t>
      </w:r>
      <w:r>
        <w:rPr>
          <w:rFonts w:ascii="Arial" w:hAnsi="Arial"/>
          <w:color w:val="333333"/>
          <w:sz w:val="21"/>
        </w:rPr>
        <w:t xml:space="preserve"> System Threat Model &amp; Risk Assessment</w:t>
      </w:r>
    </w:p>
    <w:p>
      <w:pPr>
        <w:pStyle w:val="ListNumber"/>
        <w:spacing w:after="60"/>
      </w:pPr>
      <w:r>
        <w:rPr>
          <w:rFonts w:ascii="Arial" w:hAnsi="Arial"/>
          <w:b/>
          <w:color w:val="333333"/>
          <w:sz w:val="21"/>
        </w:rPr>
        <w:t>NOVA-API-001:</w:t>
      </w:r>
      <w:r>
        <w:rPr>
          <w:rFonts w:ascii="Arial" w:hAnsi="Arial"/>
          <w:color w:val="333333"/>
          <w:sz w:val="21"/>
        </w:rPr>
        <w:t xml:space="preserve"> API Schema &amp; Interconnect Definitions</w:t>
      </w:r>
    </w:p>
    <w:p>
      <w:pPr>
        <w:keepNext/>
        <w:spacing w:before="280" w:after="120"/>
      </w:pPr>
      <w:r>
        <w:rPr>
          <w:b/>
          <w:color w:val="4B6B94"/>
          <w:sz w:val="26"/>
        </w:rPr>
        <w:t>Phase 4: Day-2 Operations Planning</w:t>
      </w:r>
    </w:p>
    <w:p>
      <w:pPr>
        <w:pStyle w:val="ListNumber"/>
        <w:spacing w:after="60"/>
      </w:pPr>
      <w:r>
        <w:rPr>
          <w:rFonts w:ascii="Arial" w:hAnsi="Arial"/>
          <w:b/>
          <w:color w:val="333333"/>
          <w:sz w:val="21"/>
        </w:rPr>
        <w:t>NOVA-SPEC-012:</w:t>
      </w:r>
      <w:r>
        <w:rPr>
          <w:rFonts w:ascii="Arial" w:hAnsi="Arial"/>
          <w:color w:val="333333"/>
          <w:sz w:val="21"/>
        </w:rPr>
        <w:t xml:space="preserve"> Deployment &amp; Packaging Specification</w:t>
      </w:r>
    </w:p>
    <w:p>
      <w:pPr>
        <w:pStyle w:val="ListNumber"/>
        <w:spacing w:after="60"/>
      </w:pPr>
      <w:r>
        <w:rPr>
          <w:rFonts w:ascii="Arial" w:hAnsi="Arial"/>
          <w:b/>
          <w:color w:val="333333"/>
          <w:sz w:val="21"/>
        </w:rPr>
        <w:t>NOVA-ENG-006:</w:t>
      </w:r>
      <w:r>
        <w:rPr>
          <w:rFonts w:ascii="Arial" w:hAnsi="Arial"/>
          <w:color w:val="333333"/>
          <w:sz w:val="21"/>
        </w:rPr>
        <w:t xml:space="preserve"> CI/CD Automation Standards</w:t>
      </w:r>
    </w:p>
    <w:p>
      <w:pPr>
        <w:pStyle w:val="ListNumber"/>
        <w:spacing w:after="60"/>
      </w:pPr>
      <w:r>
        <w:rPr>
          <w:rFonts w:ascii="Arial" w:hAnsi="Arial"/>
          <w:b/>
          <w:color w:val="333333"/>
          <w:sz w:val="21"/>
        </w:rPr>
        <w:t>NOVA-ENG-007:</w:t>
      </w:r>
      <w:r>
        <w:rPr>
          <w:rFonts w:ascii="Arial" w:hAnsi="Arial"/>
          <w:color w:val="333333"/>
          <w:sz w:val="21"/>
        </w:rPr>
        <w:t xml:space="preserve"> Plugin Sandbox &amp; Manifest Standards</w:t>
      </w:r>
    </w:p>
    <w:p>
      <w:pPr>
        <w:pStyle w:val="ListNumber"/>
        <w:spacing w:after="60"/>
      </w:pPr>
      <w:r>
        <w:rPr>
          <w:rFonts w:ascii="Arial" w:hAnsi="Arial"/>
          <w:b/>
          <w:color w:val="333333"/>
          <w:sz w:val="21"/>
        </w:rPr>
        <w:t>NOVA-SPEC-018:</w:t>
      </w:r>
      <w:r>
        <w:rPr>
          <w:rFonts w:ascii="Arial" w:hAnsi="Arial"/>
          <w:color w:val="333333"/>
          <w:sz w:val="21"/>
        </w:rPr>
        <w:t xml:space="preserve"> Observability &amp; Telemetry Specification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