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color w:val="1B365D"/>
          <w:sz w:val="44"/>
        </w:rPr>
        <w:t>Project NOVA Official Repository Specification</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NOVA-REP-002</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**Owner**</w:t>
            </w:r>
          </w:p>
        </w:tc>
        <w:tc>
          <w:tcPr>
            <w:tcW w:type="dxa" w:w="4680"/>
            <w:shd w:fill="F9FBFD"/>
            <w:tcMar>
              <w:top w:w="100" w:type="dxa"/>
              <w:bottom w:w="100" w:type="dxa"/>
              <w:left w:w="150" w:type="dxa"/>
              <w:right w:w="150" w:type="dxa"/>
            </w:tcMar>
          </w:tcPr>
          <w:p>
            <w:pPr>
              <w:spacing w:after="40"/>
            </w:pPr>
            <w:r>
              <w:rPr>
                <w:rFonts w:ascii="Arial" w:hAnsi="Arial"/>
                <w:color w:val="333333"/>
                <w:sz w:val="19"/>
              </w:rPr>
              <w:t>Lead Software Engineer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NOVA-SPEC-001</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**Revision History**</w:t>
            </w:r>
          </w:p>
        </w:tc>
        <w:tc>
          <w:tcPr>
            <w:tcW w:type="dxa" w:w="4680"/>
            <w:shd w:fill="F9FBFD"/>
            <w:tcMar>
              <w:top w:w="100" w:type="dxa"/>
              <w:bottom w:w="100" w:type="dxa"/>
              <w:left w:w="150" w:type="dxa"/>
              <w:right w:w="150" w:type="dxa"/>
            </w:tcMar>
          </w:tcPr>
          <w:p>
            <w:pPr>
              <w:spacing w:after="40"/>
            </w:pPr>
            <w:r>
              <w:rPr>
                <w:rFonts w:ascii="Arial" w:hAnsi="Arial"/>
                <w:color w:val="333333"/>
                <w:sz w:val="19"/>
              </w:rPr>
              <w:t>v1.0 Initial Contract</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1. Purpose and Scope</w:t>
      </w:r>
    </w:p>
    <w:p>
      <w:pPr>
        <w:spacing w:after="120" w:line="276" w:lineRule="auto"/>
      </w:pPr>
      <w:r>
        <w:rPr>
          <w:rFonts w:ascii="Arial" w:hAnsi="Arial"/>
          <w:color w:val="333333"/>
          <w:sz w:val="21"/>
        </w:rPr>
        <w:t>This document defines the absolute, unyielding structure of the Project NOVA repository. It explicitly details where code belongs, who owns it, how layers interact, and how imports are structured. Any pull request violating these boundaries shall be immediately rejected.</w:t>
      </w:r>
    </w:p>
    <w:p>
      <w:pPr>
        <w:spacing w:after="120" w:line="276" w:lineRule="auto"/>
      </w:pPr>
      <w:r>
        <w:rPr>
          <w:rFonts w:ascii="Arial" w:hAnsi="Arial"/>
          <w:color w:val="333333"/>
          <w:sz w:val="21"/>
        </w:rPr>
        <w:t>---</w:t>
      </w:r>
    </w:p>
    <w:p>
      <w:pPr>
        <w:keepNext/>
        <w:spacing w:before="360" w:after="160"/>
      </w:pPr>
      <w:r>
        <w:rPr>
          <w:b/>
          <w:color w:val="1B365D"/>
          <w:sz w:val="32"/>
        </w:rPr>
        <w:t>2. Complete Repository Hierarchy</w:t>
      </w:r>
    </w:p>
    <w:p>
      <w:pPr>
        <w:spacing w:before="120" w:after="120"/>
        <w:ind w:left="720"/>
        <w:shd w:fill="F5F5F5"/>
      </w:pPr>
      <w:r>
        <w:rPr>
          <w:rFonts w:ascii="Consolas" w:hAnsi="Consolas"/>
          <w:color w:val="4B6B94"/>
          <w:sz w:val="19"/>
        </w:rPr>
        <w:t>Project NOVA/</w:t>
        <w:br/>
        <w:t>├── 00_Blueprint/               # High-level architecture and specifications (Governance)</w:t>
        <w:br/>
        <w:t>├── 01_Source/                  # Main execution code</w:t>
        <w:br/>
        <w:t>│   ├── nova/                   # Root Python Package</w:t>
        <w:br/>
        <w:t>│   │   ├── core/               # Kernel, DI, Event Bus, Interfaces</w:t>
        <w:br/>
        <w:t>│   │   ├── capabilities/       # Abstract capability definitions (Vision, Voice)</w:t>
        <w:br/>
        <w:t>│   │   ├── providers/          # Concrete AI/Hardware backend integrations</w:t>
        <w:br/>
        <w:t>│   │   ├── plugins/            # Third-party or auxiliary tools</w:t>
        <w:br/>
        <w:t>│   │   └── app/                # Application presentation layer (GUI/CLI)</w:t>
        <w:br/>
        <w:t>│   └── tests/                  # All unit and integration tests</w:t>
        <w:br/>
        <w:t>├── 06_Tools/                   # Developer scripts (Compiler, CI/CD)</w:t>
        <w:br/>
        <w:t>├── 99_Archive/                 # Deprecated drafts</w:t>
        <w:br/>
        <w:t>├── pyproject.toml              # Strict package dependency file</w:t>
        <w:br/>
        <w:t>└── README.md                   # System entrypoint documentation</w:t>
      </w:r>
    </w:p>
    <w:p>
      <w:pPr>
        <w:spacing w:after="120" w:line="276" w:lineRule="auto"/>
      </w:pPr>
      <w:r>
        <w:rPr>
          <w:rFonts w:ascii="Arial" w:hAnsi="Arial"/>
          <w:color w:val="333333"/>
          <w:sz w:val="21"/>
        </w:rPr>
        <w:t>---</w:t>
      </w:r>
    </w:p>
    <w:p>
      <w:pPr>
        <w:keepNext/>
        <w:spacing w:before="360" w:after="160"/>
      </w:pPr>
      <w:r>
        <w:rPr>
          <w:b/>
          <w:color w:val="1B365D"/>
          <w:sz w:val="32"/>
        </w:rPr>
        <w:t>3. Package Responsibilities</w:t>
      </w:r>
    </w:p>
    <w:p>
      <w:pPr>
        <w:pStyle w:val="ListBullet"/>
        <w:spacing w:after="60"/>
      </w:pPr>
      <w:r>
        <w:rPr>
          <w:rFonts w:ascii="Arial" w:hAnsi="Arial"/>
          <w:color w:val="333333"/>
          <w:sz w:val="21"/>
        </w:rPr>
        <w:t xml:space="preserve">  </w:t>
      </w:r>
      <w:r>
        <w:rPr>
          <w:rFonts w:ascii="Arial" w:hAnsi="Arial"/>
          <w:b/>
          <w:color w:val="333333"/>
          <w:sz w:val="21"/>
        </w:rPr>
        <w:t>`nova.core`</w:t>
      </w:r>
      <w:r>
        <w:rPr>
          <w:rFonts w:ascii="Arial" w:hAnsi="Arial"/>
          <w:color w:val="333333"/>
          <w:sz w:val="21"/>
        </w:rPr>
        <w:t>: The Orchestration Kernel. Owns the Event Bus, Service Locator, Configuration Loader, and the Application Lifecycle. Contains ZERO business logic.</w:t>
      </w:r>
    </w:p>
    <w:p>
      <w:pPr>
        <w:pStyle w:val="ListBullet"/>
        <w:spacing w:after="60"/>
      </w:pPr>
      <w:r>
        <w:rPr>
          <w:rFonts w:ascii="Arial" w:hAnsi="Arial"/>
          <w:color w:val="333333"/>
          <w:sz w:val="21"/>
        </w:rPr>
        <w:t xml:space="preserve">  </w:t>
      </w:r>
      <w:r>
        <w:rPr>
          <w:rFonts w:ascii="Arial" w:hAnsi="Arial"/>
          <w:b/>
          <w:color w:val="333333"/>
          <w:sz w:val="21"/>
        </w:rPr>
        <w:t>`nova.capabilities`</w:t>
      </w:r>
      <w:r>
        <w:rPr>
          <w:rFonts w:ascii="Arial" w:hAnsi="Arial"/>
          <w:color w:val="333333"/>
          <w:sz w:val="21"/>
        </w:rPr>
        <w:t>: The Interface Layer. Owns the standard schemas (`ExecutionRequest`, `CapabilityMetadata`) and Abstract Base Classes for Vision, Voice, Browser, Desktop, etc.</w:t>
      </w:r>
    </w:p>
    <w:p>
      <w:pPr>
        <w:pStyle w:val="ListBullet"/>
        <w:spacing w:after="60"/>
      </w:pPr>
      <w:r>
        <w:rPr>
          <w:rFonts w:ascii="Arial" w:hAnsi="Arial"/>
          <w:color w:val="333333"/>
          <w:sz w:val="21"/>
        </w:rPr>
        <w:t xml:space="preserve">  </w:t>
      </w:r>
      <w:r>
        <w:rPr>
          <w:rFonts w:ascii="Arial" w:hAnsi="Arial"/>
          <w:b/>
          <w:color w:val="333333"/>
          <w:sz w:val="21"/>
        </w:rPr>
        <w:t>`nova.providers`</w:t>
      </w:r>
      <w:r>
        <w:rPr>
          <w:rFonts w:ascii="Arial" w:hAnsi="Arial"/>
          <w:color w:val="333333"/>
          <w:sz w:val="21"/>
        </w:rPr>
        <w:t>: The Implementation Layer. Contains the concrete Python wrappers for external tools (e.g., Playwright, ChromaDB, OpenAI).</w:t>
      </w:r>
    </w:p>
    <w:p>
      <w:pPr>
        <w:pStyle w:val="ListBullet"/>
        <w:spacing w:after="60"/>
      </w:pPr>
      <w:r>
        <w:rPr>
          <w:rFonts w:ascii="Arial" w:hAnsi="Arial"/>
          <w:color w:val="333333"/>
          <w:sz w:val="21"/>
        </w:rPr>
        <w:t xml:space="preserve">  </w:t>
      </w:r>
      <w:r>
        <w:rPr>
          <w:rFonts w:ascii="Arial" w:hAnsi="Arial"/>
          <w:b/>
          <w:color w:val="333333"/>
          <w:sz w:val="21"/>
        </w:rPr>
        <w:t>`nova.plugins`</w:t>
      </w:r>
      <w:r>
        <w:rPr>
          <w:rFonts w:ascii="Arial" w:hAnsi="Arial"/>
          <w:color w:val="333333"/>
          <w:sz w:val="21"/>
        </w:rPr>
        <w:t>: Sandboxed extensions. Evaluated via strict metadata and permission models before execution.</w:t>
      </w:r>
    </w:p>
    <w:p>
      <w:pPr>
        <w:pStyle w:val="ListBullet"/>
        <w:spacing w:after="60"/>
      </w:pPr>
      <w:r>
        <w:rPr>
          <w:rFonts w:ascii="Arial" w:hAnsi="Arial"/>
          <w:color w:val="333333"/>
          <w:sz w:val="21"/>
        </w:rPr>
        <w:t xml:space="preserve">  </w:t>
      </w:r>
      <w:r>
        <w:rPr>
          <w:rFonts w:ascii="Arial" w:hAnsi="Arial"/>
          <w:b/>
          <w:color w:val="333333"/>
          <w:sz w:val="21"/>
        </w:rPr>
        <w:t>`nova.app`</w:t>
      </w:r>
      <w:r>
        <w:rPr>
          <w:rFonts w:ascii="Arial" w:hAnsi="Arial"/>
          <w:color w:val="333333"/>
          <w:sz w:val="21"/>
        </w:rPr>
        <w:t>: The Presentation Layer. Contains PySide6 GUI overlays and the textual CLI.</w:t>
      </w:r>
    </w:p>
    <w:p>
      <w:pPr>
        <w:spacing w:after="120" w:line="276" w:lineRule="auto"/>
      </w:pPr>
      <w:r>
        <w:rPr>
          <w:rFonts w:ascii="Arial" w:hAnsi="Arial"/>
          <w:color w:val="333333"/>
          <w:sz w:val="21"/>
        </w:rPr>
        <w:t>---</w:t>
      </w:r>
    </w:p>
    <w:p>
      <w:pPr>
        <w:keepNext/>
        <w:spacing w:before="360" w:after="160"/>
      </w:pPr>
      <w:r>
        <w:rPr>
          <w:b/>
          <w:color w:val="1B365D"/>
          <w:sz w:val="32"/>
        </w:rPr>
        <w:t>4. Layer Boundaries &amp; Dependency Direction</w:t>
      </w:r>
    </w:p>
    <w:p>
      <w:pPr>
        <w:spacing w:after="120" w:line="276" w:lineRule="auto"/>
      </w:pPr>
      <w:r>
        <w:rPr>
          <w:rFonts w:ascii="Arial" w:hAnsi="Arial"/>
          <w:color w:val="333333"/>
          <w:sz w:val="21"/>
        </w:rPr>
        <w:t xml:space="preserve">Project NOVA strictly adheres to the </w:t>
      </w:r>
      <w:r>
        <w:rPr>
          <w:rFonts w:ascii="Arial" w:hAnsi="Arial"/>
          <w:b/>
          <w:color w:val="333333"/>
          <w:sz w:val="21"/>
        </w:rPr>
        <w:t>Dependency Inversion Principle (DIP)</w:t>
      </w:r>
      <w:r>
        <w:rPr>
          <w:rFonts w:ascii="Arial" w:hAnsi="Arial"/>
          <w:color w:val="333333"/>
          <w:sz w:val="21"/>
        </w:rPr>
        <w:t>.</w:t>
      </w:r>
    </w:p>
    <w:p>
      <w:pPr>
        <w:keepNext/>
        <w:spacing w:before="280" w:after="120"/>
      </w:pPr>
      <w:r>
        <w:rPr>
          <w:b/>
          <w:color w:val="4B6B94"/>
          <w:sz w:val="26"/>
        </w:rPr>
        <w:t>Dependency Rules:</w:t>
      </w:r>
    </w:p>
    <w:p>
      <w:pPr>
        <w:pStyle w:val="ListNumber"/>
        <w:spacing w:after="60"/>
      </w:pPr>
      <w:r>
        <w:rPr>
          <w:rFonts w:ascii="Arial" w:hAnsi="Arial"/>
          <w:b/>
          <w:color w:val="333333"/>
          <w:sz w:val="21"/>
        </w:rPr>
        <w:t>Core is isolated:</w:t>
      </w:r>
      <w:r>
        <w:rPr>
          <w:rFonts w:ascii="Arial" w:hAnsi="Arial"/>
          <w:color w:val="333333"/>
          <w:sz w:val="21"/>
        </w:rPr>
        <w:t xml:space="preserve"> `nova.core` MAY NOT import from `capabilities`, `providers`, or `plugins`. It only knows about standard Python primitives.</w:t>
      </w:r>
    </w:p>
    <w:p>
      <w:pPr>
        <w:pStyle w:val="ListNumber"/>
        <w:spacing w:after="60"/>
      </w:pPr>
      <w:r>
        <w:rPr>
          <w:rFonts w:ascii="Arial" w:hAnsi="Arial"/>
          <w:b/>
          <w:color w:val="333333"/>
          <w:sz w:val="21"/>
        </w:rPr>
        <w:t>Capabilities depend on Core:</w:t>
      </w:r>
      <w:r>
        <w:rPr>
          <w:rFonts w:ascii="Arial" w:hAnsi="Arial"/>
          <w:color w:val="333333"/>
          <w:sz w:val="21"/>
        </w:rPr>
        <w:t xml:space="preserve"> `nova.capabilities` MAY import from `nova.core` to utilize the Event Bus and DI containers.</w:t>
      </w:r>
    </w:p>
    <w:p>
      <w:pPr>
        <w:pStyle w:val="ListNumber"/>
        <w:spacing w:after="60"/>
      </w:pPr>
      <w:r>
        <w:rPr>
          <w:rFonts w:ascii="Arial" w:hAnsi="Arial"/>
          <w:b/>
          <w:color w:val="333333"/>
          <w:sz w:val="21"/>
        </w:rPr>
        <w:t>Providers depend on Capabilities:</w:t>
      </w:r>
      <w:r>
        <w:rPr>
          <w:rFonts w:ascii="Arial" w:hAnsi="Arial"/>
          <w:color w:val="333333"/>
          <w:sz w:val="21"/>
        </w:rPr>
        <w:t xml:space="preserve"> `nova.providers` MAY import from `nova.capabilities` to inherit the abstract interfaces. They MUST NOT import other providers.</w:t>
      </w:r>
    </w:p>
    <w:p>
      <w:pPr>
        <w:pStyle w:val="ListNumber"/>
        <w:spacing w:after="60"/>
      </w:pPr>
      <w:r>
        <w:rPr>
          <w:rFonts w:ascii="Arial" w:hAnsi="Arial"/>
          <w:b/>
          <w:color w:val="333333"/>
          <w:sz w:val="21"/>
        </w:rPr>
        <w:t>Plugins are isolated:</w:t>
      </w:r>
      <w:r>
        <w:rPr>
          <w:rFonts w:ascii="Arial" w:hAnsi="Arial"/>
          <w:color w:val="333333"/>
          <w:sz w:val="21"/>
        </w:rPr>
        <w:t xml:space="preserve"> `nova.plugins` MAY import from `nova.core` and `nova.capabilities`, but they execute inside a strictly observed boundary.</w:t>
      </w:r>
    </w:p>
    <w:p>
      <w:pPr>
        <w:keepNext/>
        <w:spacing w:before="280" w:after="120"/>
      </w:pPr>
      <w:r>
        <w:rPr>
          <w:b/>
          <w:color w:val="4B6B94"/>
          <w:sz w:val="26"/>
        </w:rPr>
        <w:t>Import Visualization</w:t>
      </w:r>
    </w:p>
    <w:p>
      <w:pPr>
        <w:spacing w:before="120" w:after="120"/>
        <w:ind w:left="720"/>
        <w:shd w:fill="F5F5F5"/>
      </w:pPr>
      <w:r>
        <w:rPr>
          <w:rFonts w:ascii="Consolas" w:hAnsi="Consolas"/>
          <w:color w:val="4B6B94"/>
          <w:sz w:val="19"/>
        </w:rPr>
        <w:t>graph TD</w:t>
        <w:br/>
        <w:t xml:space="preserve">    App[nova.app] --&gt; Core[nova.core]</w:t>
        <w:br/>
        <w:t xml:space="preserve">    App --&gt; Cap[nova.capabilities]</w:t>
        <w:br/>
        <w:t xml:space="preserve">    </w:t>
        <w:br/>
        <w:t xml:space="preserve">    Prov[nova.providers] --&gt; Cap</w:t>
        <w:br/>
        <w:t xml:space="preserve">    Plug[nova.plugins] --&gt; Cap</w:t>
        <w:br/>
        <w:t xml:space="preserve">    </w:t>
        <w:br/>
        <w:t xml:space="preserve">    Cap --&gt; Core</w:t>
        <w:br/>
        <w:t xml:space="preserve">    </w:t>
        <w:br/>
        <w:t xml:space="preserve">    style Core fill:#ff9999,stroke:#333,stroke-width:2px,color:#000</w:t>
        <w:br/>
        <w:t xml:space="preserve">    style Cap fill:#99ccff,stroke:#333,stroke-width:2px,color:#000</w:t>
        <w:br/>
        <w:t xml:space="preserve">    style Prov fill:#99ff99,stroke:#333,stroke-width:2px,color:#000</w:t>
      </w:r>
    </w:p>
    <w:p>
      <w:pPr>
        <w:spacing w:after="120" w:line="276" w:lineRule="auto"/>
      </w:pPr>
      <w:r>
        <w:rPr>
          <w:rFonts w:ascii="Arial" w:hAnsi="Arial"/>
          <w:i/>
          <w:color w:val="333333"/>
          <w:sz w:val="21"/>
        </w:rPr>
        <w:t>(Red nodes have zero outward dependencies. Arrows dictate the allowed direction of imports.)</w:t>
      </w:r>
    </w:p>
    <w:p>
      <w:pPr>
        <w:spacing w:after="120" w:line="276" w:lineRule="auto"/>
      </w:pPr>
      <w:r>
        <w:rPr>
          <w:rFonts w:ascii="Arial" w:hAnsi="Arial"/>
          <w:color w:val="333333"/>
          <w:sz w:val="21"/>
        </w:rPr>
        <w:t>---</w:t>
      </w:r>
    </w:p>
    <w:p>
      <w:pPr>
        <w:keepNext/>
        <w:spacing w:before="360" w:after="160"/>
      </w:pPr>
      <w:r>
        <w:rPr>
          <w:b/>
          <w:color w:val="1B365D"/>
          <w:sz w:val="32"/>
        </w:rPr>
        <w:t>5. Coding &amp; Naming Conventions</w:t>
      </w:r>
    </w:p>
    <w:p>
      <w:pPr>
        <w:pStyle w:val="ListBullet"/>
        <w:spacing w:after="60"/>
      </w:pPr>
      <w:r>
        <w:rPr>
          <w:rFonts w:ascii="Arial" w:hAnsi="Arial"/>
          <w:color w:val="333333"/>
          <w:sz w:val="21"/>
        </w:rPr>
        <w:t xml:space="preserve">  </w:t>
      </w:r>
      <w:r>
        <w:rPr>
          <w:rFonts w:ascii="Arial" w:hAnsi="Arial"/>
          <w:b/>
          <w:color w:val="333333"/>
          <w:sz w:val="21"/>
        </w:rPr>
        <w:t>Modules/Files:</w:t>
      </w:r>
      <w:r>
        <w:rPr>
          <w:rFonts w:ascii="Arial" w:hAnsi="Arial"/>
          <w:color w:val="333333"/>
          <w:sz w:val="21"/>
        </w:rPr>
        <w:t xml:space="preserve"> `snake_case.py` (e.g., `event_bus.py`, `vision_provider.py`).</w:t>
      </w:r>
    </w:p>
    <w:p>
      <w:pPr>
        <w:pStyle w:val="ListBullet"/>
        <w:spacing w:after="60"/>
      </w:pPr>
      <w:r>
        <w:rPr>
          <w:rFonts w:ascii="Arial" w:hAnsi="Arial"/>
          <w:color w:val="333333"/>
          <w:sz w:val="21"/>
        </w:rPr>
        <w:t xml:space="preserve">  </w:t>
      </w:r>
      <w:r>
        <w:rPr>
          <w:rFonts w:ascii="Arial" w:hAnsi="Arial"/>
          <w:b/>
          <w:color w:val="333333"/>
          <w:sz w:val="21"/>
        </w:rPr>
        <w:t>Classes:</w:t>
      </w:r>
      <w:r>
        <w:rPr>
          <w:rFonts w:ascii="Arial" w:hAnsi="Arial"/>
          <w:color w:val="333333"/>
          <w:sz w:val="21"/>
        </w:rPr>
        <w:t xml:space="preserve"> `PascalCase` (e.g., `AsyncioEventBus`, `CapabilityRegistry`).</w:t>
      </w:r>
    </w:p>
    <w:p>
      <w:pPr>
        <w:pStyle w:val="ListBullet"/>
        <w:spacing w:after="60"/>
      </w:pPr>
      <w:r>
        <w:rPr>
          <w:rFonts w:ascii="Arial" w:hAnsi="Arial"/>
          <w:color w:val="333333"/>
          <w:sz w:val="21"/>
        </w:rPr>
        <w:t xml:space="preserve">  </w:t>
      </w:r>
      <w:r>
        <w:rPr>
          <w:rFonts w:ascii="Arial" w:hAnsi="Arial"/>
          <w:b/>
          <w:color w:val="333333"/>
          <w:sz w:val="21"/>
        </w:rPr>
        <w:t>Interfaces:</w:t>
      </w:r>
      <w:r>
        <w:rPr>
          <w:rFonts w:ascii="Arial" w:hAnsi="Arial"/>
          <w:color w:val="333333"/>
          <w:sz w:val="21"/>
        </w:rPr>
        <w:t xml:space="preserve"> Prefixed with `I` (e.g., `ICapability`, `IEventBus`).</w:t>
      </w:r>
    </w:p>
    <w:p>
      <w:pPr>
        <w:pStyle w:val="ListBullet"/>
        <w:spacing w:after="60"/>
      </w:pPr>
      <w:r>
        <w:rPr>
          <w:rFonts w:ascii="Arial" w:hAnsi="Arial"/>
          <w:color w:val="333333"/>
          <w:sz w:val="21"/>
        </w:rPr>
        <w:t xml:space="preserve">  </w:t>
      </w:r>
      <w:r>
        <w:rPr>
          <w:rFonts w:ascii="Arial" w:hAnsi="Arial"/>
          <w:b/>
          <w:color w:val="333333"/>
          <w:sz w:val="21"/>
        </w:rPr>
        <w:t>Functions/Variables:</w:t>
      </w:r>
      <w:r>
        <w:rPr>
          <w:rFonts w:ascii="Arial" w:hAnsi="Arial"/>
          <w:color w:val="333333"/>
          <w:sz w:val="21"/>
        </w:rPr>
        <w:t xml:space="preserve"> `snake_case` (e.g., `dispatch_event`, `max_retries`).</w:t>
      </w:r>
    </w:p>
    <w:p>
      <w:pPr>
        <w:pStyle w:val="ListBullet"/>
        <w:spacing w:after="60"/>
      </w:pPr>
      <w:r>
        <w:rPr>
          <w:rFonts w:ascii="Arial" w:hAnsi="Arial"/>
          <w:color w:val="333333"/>
          <w:sz w:val="21"/>
        </w:rPr>
        <w:t xml:space="preserve">  </w:t>
      </w:r>
      <w:r>
        <w:rPr>
          <w:rFonts w:ascii="Arial" w:hAnsi="Arial"/>
          <w:b/>
          <w:color w:val="333333"/>
          <w:sz w:val="21"/>
        </w:rPr>
        <w:t>Constants:</w:t>
      </w:r>
      <w:r>
        <w:rPr>
          <w:rFonts w:ascii="Arial" w:hAnsi="Arial"/>
          <w:color w:val="333333"/>
          <w:sz w:val="21"/>
        </w:rPr>
        <w:t xml:space="preserve"> `UPPER_SNAKE_CASE` (e.g., `DEFAULT_TIMEOUT_MS`).</w:t>
      </w:r>
    </w:p>
    <w:p>
      <w:pPr>
        <w:keepNext/>
        <w:spacing w:before="280" w:after="120"/>
      </w:pPr>
      <w:r>
        <w:rPr>
          <w:b/>
          <w:color w:val="4B6B94"/>
          <w:sz w:val="26"/>
        </w:rPr>
        <w:t>Import Rules</w:t>
      </w:r>
    </w:p>
    <w:p>
      <w:pPr>
        <w:pStyle w:val="ListBullet"/>
        <w:spacing w:after="60"/>
      </w:pPr>
      <w:r>
        <w:rPr>
          <w:rFonts w:ascii="Arial" w:hAnsi="Arial"/>
          <w:color w:val="333333"/>
          <w:sz w:val="21"/>
        </w:rPr>
        <w:t xml:space="preserve">  </w:t>
      </w:r>
      <w:r>
        <w:rPr>
          <w:rFonts w:ascii="Arial" w:hAnsi="Arial"/>
          <w:b/>
          <w:color w:val="333333"/>
          <w:sz w:val="21"/>
        </w:rPr>
        <w:t>Explicit over Implicit:</w:t>
      </w:r>
      <w:r>
        <w:rPr>
          <w:rFonts w:ascii="Arial" w:hAnsi="Arial"/>
          <w:color w:val="333333"/>
          <w:sz w:val="21"/>
        </w:rPr>
        <w:t xml:space="preserve"> Wildcard imports (`from nova.core import </w:t>
      </w:r>
      <w:r>
        <w:rPr>
          <w:rFonts w:ascii="Arial" w:hAnsi="Arial"/>
          <w:i/>
          <w:color w:val="333333"/>
          <w:sz w:val="21"/>
        </w:rPr>
        <w:t xml:space="preserve">`) are </w:t>
      </w:r>
      <w:r>
        <w:rPr>
          <w:rFonts w:ascii="Arial" w:hAnsi="Arial"/>
          <w:i/>
          <w:color w:val="333333"/>
          <w:sz w:val="21"/>
        </w:rPr>
        <w:t>strictly banned</w:t>
      </w:r>
      <w:r>
        <w:rPr>
          <w:rFonts w:ascii="Arial" w:hAnsi="Arial"/>
          <w:color w:val="333333"/>
          <w:sz w:val="21"/>
        </w:rPr>
        <w:t>*.</w:t>
      </w:r>
    </w:p>
    <w:p>
      <w:pPr>
        <w:pStyle w:val="ListBullet"/>
        <w:spacing w:after="60"/>
      </w:pPr>
      <w:r>
        <w:rPr>
          <w:rFonts w:ascii="Arial" w:hAnsi="Arial"/>
          <w:color w:val="333333"/>
          <w:sz w:val="21"/>
        </w:rPr>
        <w:t xml:space="preserve">  </w:t>
      </w:r>
      <w:r>
        <w:rPr>
          <w:rFonts w:ascii="Arial" w:hAnsi="Arial"/>
          <w:b/>
          <w:color w:val="333333"/>
          <w:sz w:val="21"/>
        </w:rPr>
        <w:t>Absolute over Relative:</w:t>
      </w:r>
      <w:r>
        <w:rPr>
          <w:rFonts w:ascii="Arial" w:hAnsi="Arial"/>
          <w:color w:val="333333"/>
          <w:sz w:val="21"/>
        </w:rPr>
        <w:t xml:space="preserve"> Absolute imports (`import nova.core.event_bus`) are heavily preferred over relative imports (`from . import event_bus`) to prevent module resolution errors.</w:t>
      </w:r>
    </w:p>
    <w:p>
      <w:pPr>
        <w:spacing w:after="120" w:line="276" w:lineRule="auto"/>
      </w:pPr>
      <w:r>
        <w:rPr>
          <w:rFonts w:ascii="Arial" w:hAnsi="Arial"/>
          <w:color w:val="333333"/>
          <w:sz w:val="21"/>
        </w:rPr>
        <w:t>---</w:t>
      </w:r>
    </w:p>
    <w:p>
      <w:pPr>
        <w:keepNext/>
        <w:spacing w:before="360" w:after="160"/>
      </w:pPr>
      <w:r>
        <w:rPr>
          <w:b/>
          <w:color w:val="1B365D"/>
          <w:sz w:val="32"/>
        </w:rPr>
        <w:t>6. Test Organization</w:t>
      </w:r>
    </w:p>
    <w:p>
      <w:pPr>
        <w:spacing w:after="120" w:line="276" w:lineRule="auto"/>
      </w:pPr>
      <w:r>
        <w:rPr>
          <w:rFonts w:ascii="Arial" w:hAnsi="Arial"/>
          <w:color w:val="333333"/>
          <w:sz w:val="21"/>
        </w:rPr>
        <w:t>Tests do NOT live alongside source code. They are strictly segregated to ensure clean packaging.</w:t>
      </w:r>
    </w:p>
    <w:p>
      <w:pPr>
        <w:pStyle w:val="ListBullet"/>
        <w:spacing w:after="60"/>
      </w:pPr>
      <w:r>
        <w:rPr>
          <w:rFonts w:ascii="Arial" w:hAnsi="Arial"/>
          <w:color w:val="333333"/>
          <w:sz w:val="21"/>
        </w:rPr>
        <w:t xml:space="preserve">  </w:t>
      </w:r>
      <w:r>
        <w:rPr>
          <w:rFonts w:ascii="Arial" w:hAnsi="Arial"/>
          <w:b/>
          <w:color w:val="333333"/>
          <w:sz w:val="21"/>
        </w:rPr>
        <w:t>Unit Tests:</w:t>
      </w:r>
      <w:r>
        <w:rPr>
          <w:rFonts w:ascii="Arial" w:hAnsi="Arial"/>
          <w:color w:val="333333"/>
          <w:sz w:val="21"/>
        </w:rPr>
        <w:t xml:space="preserve"> Must reside in `01_Source/tests/unit/`. They test functions in isolation using mocks.</w:t>
      </w:r>
    </w:p>
    <w:p>
      <w:pPr>
        <w:pStyle w:val="ListBullet"/>
        <w:spacing w:after="60"/>
      </w:pPr>
      <w:r>
        <w:rPr>
          <w:rFonts w:ascii="Arial" w:hAnsi="Arial"/>
          <w:color w:val="333333"/>
          <w:sz w:val="21"/>
        </w:rPr>
        <w:t xml:space="preserve">  </w:t>
      </w:r>
      <w:r>
        <w:rPr>
          <w:rFonts w:ascii="Arial" w:hAnsi="Arial"/>
          <w:b/>
          <w:color w:val="333333"/>
          <w:sz w:val="21"/>
        </w:rPr>
        <w:t>Integration Tests:</w:t>
      </w:r>
      <w:r>
        <w:rPr>
          <w:rFonts w:ascii="Arial" w:hAnsi="Arial"/>
          <w:color w:val="333333"/>
          <w:sz w:val="21"/>
        </w:rPr>
        <w:t xml:space="preserve"> Must reside in `01_Source/tests/integration/`. They test real DB connections and real process boundaries.</w:t>
      </w:r>
    </w:p>
    <w:p>
      <w:pPr>
        <w:pStyle w:val="ListBullet"/>
        <w:spacing w:after="60"/>
      </w:pPr>
      <w:r>
        <w:rPr>
          <w:rFonts w:ascii="Arial" w:hAnsi="Arial"/>
          <w:color w:val="333333"/>
          <w:sz w:val="21"/>
        </w:rPr>
        <w:t xml:space="preserve">  </w:t>
      </w:r>
      <w:r>
        <w:rPr>
          <w:rFonts w:ascii="Arial" w:hAnsi="Arial"/>
          <w:b/>
          <w:color w:val="333333"/>
          <w:sz w:val="21"/>
        </w:rPr>
        <w:t>Test Naming:</w:t>
      </w:r>
      <w:r>
        <w:rPr>
          <w:rFonts w:ascii="Arial" w:hAnsi="Arial"/>
          <w:color w:val="333333"/>
          <w:sz w:val="21"/>
        </w:rPr>
        <w:t xml:space="preserve"> Must mirror the source path. (e.g., `nova/core/di.py` -&gt; `tests/unit/core/test_di.py`).</w:t>
      </w:r>
    </w:p>
    <w:p>
      <w:pPr>
        <w:spacing w:after="120" w:line="276" w:lineRule="auto"/>
      </w:pPr>
      <w:r>
        <w:rPr>
          <w:rFonts w:ascii="Arial" w:hAnsi="Arial"/>
          <w:color w:val="333333"/>
          <w:sz w:val="21"/>
        </w:rPr>
        <w:t>---</w:t>
      </w:r>
    </w:p>
    <w:p>
      <w:pPr>
        <w:keepNext/>
        <w:spacing w:before="360" w:after="160"/>
      </w:pPr>
      <w:r>
        <w:rPr>
          <w:b/>
          <w:color w:val="1B365D"/>
          <w:sz w:val="32"/>
        </w:rPr>
        <w:t>7. Future Expansion Policy</w:t>
      </w:r>
    </w:p>
    <w:p>
      <w:pPr>
        <w:spacing w:after="120" w:line="276" w:lineRule="auto"/>
      </w:pPr>
      <w:r>
        <w:rPr>
          <w:rFonts w:ascii="Arial" w:hAnsi="Arial"/>
          <w:color w:val="333333"/>
          <w:sz w:val="21"/>
        </w:rPr>
        <w:t>When adding new modules (e.g., a new AI Provider):</w:t>
      </w:r>
    </w:p>
    <w:p>
      <w:pPr>
        <w:pStyle w:val="ListNumber"/>
        <w:spacing w:after="60"/>
      </w:pPr>
      <w:r>
        <w:rPr>
          <w:rFonts w:ascii="Arial" w:hAnsi="Arial"/>
          <w:color w:val="333333"/>
          <w:sz w:val="21"/>
        </w:rPr>
        <w:t>Define the abstract interface in `nova.capabilities`.</w:t>
      </w:r>
    </w:p>
    <w:p>
      <w:pPr>
        <w:pStyle w:val="ListNumber"/>
        <w:spacing w:after="60"/>
      </w:pPr>
      <w:r>
        <w:rPr>
          <w:rFonts w:ascii="Arial" w:hAnsi="Arial"/>
          <w:color w:val="333333"/>
          <w:sz w:val="21"/>
        </w:rPr>
        <w:t>Implement the concrete logic in `nova.providers.[provider_name]`.</w:t>
      </w:r>
    </w:p>
    <w:p>
      <w:pPr>
        <w:pStyle w:val="ListNumber"/>
        <w:spacing w:after="60"/>
      </w:pPr>
      <w:r>
        <w:rPr>
          <w:rFonts w:ascii="Arial" w:hAnsi="Arial"/>
          <w:color w:val="333333"/>
          <w:sz w:val="21"/>
        </w:rPr>
        <w:t>Register the provider mapping in `nova.core.di` during boot.</w:t>
      </w:r>
    </w:p>
    <w:p>
      <w:pPr>
        <w:pStyle w:val="ListNumber"/>
        <w:spacing w:after="60"/>
      </w:pPr>
      <w:r>
        <w:rPr>
          <w:rFonts w:ascii="Arial" w:hAnsi="Arial"/>
          <w:color w:val="333333"/>
          <w:sz w:val="21"/>
        </w:rPr>
        <w:t>Do NOT inject the new provider explicitly into the core orchestrator.</w:t>
      </w:r>
    </w:p>
    <w:p>
      <w:pPr>
        <w:spacing w:after="120" w:line="276" w:lineRule="auto"/>
      </w:pPr>
      <w:r>
        <w:rPr>
          <w:rFonts w:ascii="Arial" w:hAnsi="Arial"/>
          <w:color w:val="333333"/>
          <w:sz w:val="21"/>
        </w:rPr>
        <w:t>---</w:t>
      </w:r>
    </w:p>
    <w:p>
      <w:pPr>
        <w:keepNext/>
        <w:spacing w:before="360" w:after="160"/>
      </w:pPr>
      <w:r>
        <w:rPr>
          <w:b/>
          <w:color w:val="1B365D"/>
          <w:sz w:val="32"/>
        </w:rPr>
        <w:t>8. Acceptance Criteria</w:t>
      </w:r>
    </w:p>
    <w:p>
      <w:pPr>
        <w:pStyle w:val="ListBullet"/>
        <w:spacing w:after="60"/>
      </w:pPr>
      <w:r>
        <w:rPr>
          <w:rFonts w:ascii="Arial" w:hAnsi="Arial"/>
          <w:color w:val="333333"/>
          <w:sz w:val="21"/>
        </w:rPr>
        <w:t xml:space="preserve">  The `01_Source/nova` package passes a static dependency analysis check confirming no upward dependencies exist (Providers -&gt; Core).</w:t>
      </w:r>
    </w:p>
    <w:p>
      <w:pPr>
        <w:pStyle w:val="ListBullet"/>
        <w:spacing w:after="60"/>
      </w:pPr>
      <w:r>
        <w:rPr>
          <w:rFonts w:ascii="Arial" w:hAnsi="Arial"/>
          <w:color w:val="333333"/>
          <w:sz w:val="21"/>
        </w:rPr>
        <w:t xml:space="preserve">  The tree structure mirrors this document exactly.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