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 Constitution</w:t>
      </w:r>
    </w:p>
    <w:p>
      <w:r>
        <w:t>NOVA is an AI Operating Platform—not merely a voice assistant.</w:t>
        <w:br/>
        <w:br/>
        <w:t>Articles:</w:t>
        <w:br/>
        <w:t>1. Platform First</w:t>
        <w:br/>
        <w:t>2. Architecture Before Implementation</w:t>
        <w:br/>
        <w:t>3. Modularity</w:t>
        <w:br/>
        <w:t>4. Intelligence Over Scripts</w:t>
        <w:br/>
        <w:t>5. Human Oversight</w:t>
        <w:br/>
        <w:t>6. Explainability</w:t>
        <w:br/>
        <w:t>7. Security by Design</w:t>
        <w:br/>
        <w:t>8. Privacy</w:t>
        <w:br/>
        <w:t>9. Model Independence</w:t>
        <w:br/>
        <w:t>10. Offline First</w:t>
        <w:br/>
        <w:t>11. Observability</w:t>
        <w:br/>
        <w:t>12. Extensibility</w:t>
        <w:br/>
        <w:t>13. Quality</w:t>
        <w:br/>
        <w:t>14. Continuous Evolution</w:t>
        <w:br/>
        <w:br/>
        <w:t>Golden Rule:</w:t>
        <w:br/>
        <w:t>'Does this make NOVA a better AI Operating Platform?'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