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/>
          <w:b/>
          <w:sz w:val="22"/>
        </w:rPr>
        <w:t>Subject: Take-Home Assessment Submission — Senior Data Scientist / ML Engineer | Praveen Tiwari</w:t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Hi [Hiring Manager's Name],</w:t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Please find my submission for the Senior Data Scientist / ML Engineer take-home assessment.</w:t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Repository: https://github.com/PraveenDNA/assignment_oil_prices</w:t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/>
          <w:sz w:val="22"/>
        </w:rPr>
        <w:t>Repository expectations — confirmed met:</w:t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The repo runs from a clean clone with a single command as required:</w:t>
      </w:r>
    </w:p>
    <w:p>
      <w:pPr>
        <w:spacing w:after="40" w:before="0"/>
      </w:pPr>
      <w:r>
        <w:rPr>
          <w:sz w:val="12"/>
        </w:rPr>
      </w:r>
    </w:p>
    <w:p>
      <w:pPr>
        <w:spacing w:after="40" w:before="0"/>
        <w:ind w:left="576"/>
      </w:pPr>
      <w:r>
        <w:rPr>
          <w:rFonts w:ascii="Courier New" w:hAnsi="Courier New"/>
          <w:sz w:val="20"/>
        </w:rPr>
        <w:t>git clone https://github.com/PraveenDNA/assignment_oil_prices.git brent-stress-test</w:t>
      </w:r>
    </w:p>
    <w:p>
      <w:pPr>
        <w:spacing w:after="40" w:before="0"/>
        <w:ind w:left="576"/>
      </w:pPr>
      <w:r>
        <w:rPr>
          <w:rFonts w:ascii="Courier New" w:hAnsi="Courier New"/>
          <w:sz w:val="20"/>
        </w:rPr>
        <w:t>cd brent-stress-test</w:t>
      </w:r>
    </w:p>
    <w:p>
      <w:pPr>
        <w:spacing w:after="40" w:before="0"/>
        <w:ind w:left="576"/>
      </w:pPr>
      <w:r>
        <w:rPr>
          <w:rFonts w:ascii="Courier New" w:hAnsi="Courier New"/>
          <w:sz w:val="20"/>
        </w:rPr>
        <w:t>pip install -e .</w:t>
      </w:r>
    </w:p>
    <w:p>
      <w:pPr>
        <w:spacing w:after="40" w:before="0"/>
        <w:ind w:left="576"/>
      </w:pPr>
      <w:r>
        <w:rPr>
          <w:rFonts w:ascii="Courier New" w:hAnsi="Courier New"/>
          <w:sz w:val="20"/>
        </w:rPr>
        <w:t>python run.py</w:t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This fetches Brent crude data, fits the model, simulates 1,000 paths, validates against historical risk metrics, and writes reports/report.html. Dependencies are pinned to exact versions in pyproject.toml and a full transitive freeze is in requirements.txt (59 packages).</w:t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All generated reports are committed to the repo under reports/ and can be opened directly without running any code.</w:t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/>
          <w:sz w:val="22"/>
        </w:rPr>
        <w:t>What's in the repo:</w:t>
      </w:r>
    </w:p>
    <w:p>
      <w:pPr>
        <w:spacing w:after="40" w:before="0"/>
      </w:pPr>
      <w:r>
        <w:rPr>
          <w:sz w:val="12"/>
        </w:rPr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python run.py → reports/report.html — main pipeline (fit, simulate, validate)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python eda.py → reports/eda_report.html — full statistical diagnostics, 11 sections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python model_selection.py → reports/model_selection.html — 6 GARCH-family models compared empirically</w:t>
      </w:r>
    </w:p>
    <w:p>
      <w:pPr>
        <w:pStyle w:val="ListBullet"/>
        <w:spacing w:after="60" w:before="0"/>
      </w:pPr>
      <w:r>
        <w:rPr>
          <w:rFonts w:ascii="Calibri" w:hAnsi="Calibri"/>
          <w:sz w:val="22"/>
        </w:rPr>
        <w:t>python scenarios.py → reports/scenario_analysis.docx — 10 global stress scenarios with fan charts</w:t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Model: GJR-GARCH(1,1) with Student-t innovations, selected after EDA confirmed volatility clustering (ACF of squared returns significant to lag 20+), leverage asymmetry (gamma = 0.0825, t-stat 4.25), and heavy tails (Hill estimator alpha 3.5 to 4.5). Validation: 5 of 6 metrics pass. The kurtosis overshoot is documented with a mechanical explanation and remedies in docs/writeup.md.</w:t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AWS design: docs/aws-deployment.md covers the full-stack architecture (React SPA + Cognito SSO → API Gateway → Step Functions → ECS Fargate), with a rendered architecture diagram, service-by-service justifications, identity and secrets model, observability setup, itemised cost (~$19.50/month at 300 runs), and 100x scaling design.</w:t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AI usage: Documented in AIUSAGE.md. Model selection, threshold calibration, scenario design, and failure mode analysis were not delegated to AI.</w:t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Please let me know if you have any questions.</w:t>
      </w:r>
    </w:p>
    <w:p>
      <w:pPr>
        <w:spacing w:after="40" w:before="0"/>
      </w:pPr>
      <w:r>
        <w:rPr>
          <w:sz w:val="12"/>
        </w:rPr>
      </w:r>
    </w:p>
    <w:p>
      <w:pPr>
        <w:spacing w:after="40" w:before="0"/>
      </w:pPr>
      <w:r>
        <w:rPr>
          <w:sz w:val="12"/>
        </w:rPr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Best regards,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Praveen Tiwari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[Phone]</w:t>
      </w:r>
    </w:p>
    <w:p>
      <w:pPr>
        <w:spacing w:after="120" w:before="0"/>
      </w:pPr>
      <w:r>
        <w:rPr>
          <w:rFonts w:ascii="Calibri" w:hAnsi="Calibri"/>
          <w:b w:val="0"/>
          <w:sz w:val="22"/>
        </w:rPr>
        <w:t>[Email / LinkedIn]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