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365D"/>
          <w:sz w:val="56"/>
        </w:rPr>
        <w:t>Brent Crude Oil</w:t>
      </w:r>
    </w:p>
    <w:p>
      <w:pPr>
        <w:pStyle w:val="Heading1"/>
        <w:jc w:val="center"/>
      </w:pPr>
      <w:r>
        <w:rPr>
          <w:color w:val="2B6CB0"/>
          <w:sz w:val="36"/>
        </w:rPr>
        <w:t>Global Stress Scenario Analysis</w:t>
      </w:r>
    </w:p>
    <w:p/>
    <w:p>
      <w:pPr>
        <w:jc w:val="center"/>
      </w:pPr>
      <w:r>
        <w:rPr>
          <w:i/>
          <w:color w:val="718096"/>
          <w:sz w:val="22"/>
        </w:rPr>
        <w:t>Model: GJR-GARCH(1,1) + Student-t Innovations</w:t>
      </w:r>
    </w:p>
    <w:p/>
    <w:p/>
    <w:p>
      <w:pPr>
        <w:jc w:val="center"/>
      </w:pPr>
      <w:r>
        <w:rPr>
          <w:sz w:val="18"/>
        </w:rPr>
        <w:t>Date: 09 May 2026    |    Paths per scenario: 1,000    |    Seed: 42</w:t>
      </w:r>
    </w:p>
    <w:p/>
    <w:p>
      <w:pPr>
        <w:jc w:val="center"/>
      </w:pPr>
      <w:r>
        <w:rPr>
          <w:color w:val="718096"/>
          <w:sz w:val="18"/>
        </w:rPr>
        <w:t>Ten geopolitical and macroeconomic scenarios stress-tested through a calibrated GJR-GARCH volatility model.</w:t>
        <w:br/>
        <w:t>Each scenario adjusts calibration window, initial volatility, tail heaviness, leverage, and projection horizon</w:t>
        <w:br/>
        <w:t>to reflect the specific risk context of a named global event or structural shift.</w:t>
      </w:r>
    </w:p>
    <w:p>
      <w:r>
        <w:br w:type="page"/>
      </w:r>
    </w:p>
    <w:p>
      <w:pPr>
        <w:pStyle w:val="Heading1"/>
      </w:pPr>
      <w:r>
        <w:rPr>
          <w:color w:val="1A365D"/>
        </w:rPr>
        <w:t>Executive Summary</w:t>
      </w:r>
    </w:p>
    <w:p>
      <w:pPr>
        <w:spacing w:after="160"/>
      </w:pPr>
      <w:r>
        <w:rPr>
          <w:sz w:val="18"/>
        </w:rPr>
        <w:t>The table below compares all ten scenarios across six key risk metrics. Metrics are derived from Monte Carlo simulation of the fitted GJR-GARCH(1,1) model, pooling daily log-returns across all simulated paths. Daily VaR/ES figures apply to a single trading day; cumulative metrics apply over each scenario's specific projection horizon.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a365d"/>
          </w:tcPr>
          <w:p>
            <w:pPr>
              <w:jc w:val="center"/>
            </w:pPr>
            <w:r/>
            <w:r>
              <w:rPr>
                <w:b/>
                <w:color w:val="FFFFFF"/>
                <w:sz w:val="16"/>
              </w:rPr>
              <w:t>ID</w:t>
            </w:r>
          </w:p>
        </w:tc>
        <w:tc>
          <w:tcPr>
            <w:tcW w:type="dxa" w:w="1040"/>
            <w:shd w:val="clear" w:color="auto" w:fill="1a365d"/>
          </w:tcPr>
          <w:p>
            <w:pPr>
              <w:jc w:val="center"/>
            </w:pPr>
            <w:r/>
            <w:r>
              <w:rPr>
                <w:b/>
                <w:color w:val="FFFFFF"/>
                <w:sz w:val="16"/>
              </w:rPr>
              <w:t>Scenario</w:t>
            </w:r>
          </w:p>
        </w:tc>
        <w:tc>
          <w:tcPr>
            <w:tcW w:type="dxa" w:w="1040"/>
            <w:shd w:val="clear" w:color="auto" w:fill="1a365d"/>
          </w:tcPr>
          <w:p>
            <w:pPr>
              <w:jc w:val="center"/>
            </w:pPr>
            <w:r/>
            <w:r>
              <w:rPr>
                <w:b/>
                <w:color w:val="FFFFFF"/>
                <w:sz w:val="16"/>
              </w:rPr>
              <w:t>Horizon</w:t>
              <w:br/>
              <w:t>(days)</w:t>
            </w:r>
          </w:p>
        </w:tc>
        <w:tc>
          <w:tcPr>
            <w:tcW w:type="dxa" w:w="1040"/>
            <w:shd w:val="clear" w:color="auto" w:fill="1a365d"/>
          </w:tcPr>
          <w:p>
            <w:pPr>
              <w:jc w:val="center"/>
            </w:pPr>
            <w:r/>
            <w:r>
              <w:rPr>
                <w:b/>
                <w:color w:val="FFFFFF"/>
                <w:sz w:val="16"/>
              </w:rPr>
              <w:t>Ann. Vol</w:t>
              <w:br/>
              <w:t>(%)</w:t>
            </w:r>
          </w:p>
        </w:tc>
        <w:tc>
          <w:tcPr>
            <w:tcW w:type="dxa" w:w="1040"/>
            <w:shd w:val="clear" w:color="auto" w:fill="1a365d"/>
          </w:tcPr>
          <w:p>
            <w:pPr>
              <w:jc w:val="center"/>
            </w:pPr>
            <w:r/>
            <w:r>
              <w:rPr>
                <w:b/>
                <w:color w:val="FFFFFF"/>
                <w:sz w:val="16"/>
              </w:rPr>
              <w:t>Daily</w:t>
              <w:br/>
              <w:t>VaR99 (%)</w:t>
            </w:r>
          </w:p>
        </w:tc>
        <w:tc>
          <w:tcPr>
            <w:tcW w:type="dxa" w:w="1040"/>
            <w:shd w:val="clear" w:color="auto" w:fill="1a365d"/>
          </w:tcPr>
          <w:p>
            <w:pPr>
              <w:jc w:val="center"/>
            </w:pPr>
            <w:r/>
            <w:r>
              <w:rPr>
                <w:b/>
                <w:color w:val="FFFFFF"/>
                <w:sz w:val="16"/>
              </w:rPr>
              <w:t>Daily</w:t>
              <w:br/>
              <w:t>ES99 (%)</w:t>
            </w:r>
          </w:p>
        </w:tc>
        <w:tc>
          <w:tcPr>
            <w:tcW w:type="dxa" w:w="1040"/>
            <w:shd w:val="clear" w:color="auto" w:fill="1a365d"/>
          </w:tcPr>
          <w:p>
            <w:pPr>
              <w:jc w:val="center"/>
            </w:pPr>
            <w:r/>
            <w:r>
              <w:rPr>
                <w:b/>
                <w:color w:val="FFFFFF"/>
                <w:sz w:val="16"/>
              </w:rPr>
              <w:t>Mean DD</w:t>
              <w:br/>
              <w:t>(%)</w:t>
            </w:r>
          </w:p>
        </w:tc>
        <w:tc>
          <w:tcPr>
            <w:tcW w:type="dxa" w:w="1040"/>
            <w:shd w:val="clear" w:color="auto" w:fill="1a365d"/>
          </w:tcPr>
          <w:p>
            <w:pPr>
              <w:jc w:val="center"/>
            </w:pPr>
            <w:r/>
            <w:r>
              <w:rPr>
                <w:b/>
                <w:color w:val="FFFFFF"/>
                <w:sz w:val="16"/>
              </w:rPr>
              <w:t>P95 DD</w:t>
              <w:br/>
              <w:t>(%)</w:t>
            </w:r>
          </w:p>
        </w:tc>
        <w:tc>
          <w:tcPr>
            <w:tcW w:type="dxa" w:w="1040"/>
            <w:shd w:val="clear" w:color="auto" w:fill="1a365d"/>
          </w:tcPr>
          <w:p>
            <w:pPr>
              <w:jc w:val="center"/>
            </w:pPr>
            <w:r/>
            <w:r>
              <w:rPr>
                <w:b/>
                <w:color w:val="FFFFFF"/>
                <w:sz w:val="16"/>
              </w:rPr>
              <w:t>Prob</w:t>
              <w:br/>
              <w:t>DD&gt;40%</w:t>
            </w:r>
          </w:p>
        </w:tc>
      </w:tr>
      <w:tr>
        <w:tc>
          <w:tcPr>
            <w:tcW w:type="dxa" w:w="1040"/>
            <w:shd w:val="clear" w:color="auto" w:fill="edf2f7"/>
          </w:tcPr>
          <w:p>
            <w:pPr>
              <w:jc w:val="left"/>
            </w:pPr>
            <w:r/>
            <w:r>
              <w:rPr>
                <w:b/>
                <w:sz w:val="16"/>
              </w:rPr>
              <w:t>S01</w:t>
            </w:r>
          </w:p>
        </w:tc>
        <w:tc>
          <w:tcPr>
            <w:tcW w:type="dxa" w:w="1040"/>
            <w:shd w:val="clear" w:color="auto" w:fill="edf2f7"/>
          </w:tcPr>
          <w:p>
            <w:pPr>
              <w:jc w:val="left"/>
            </w:pPr>
            <w:r/>
            <w:r>
              <w:rPr>
                <w:b w:val="0"/>
                <w:sz w:val="16"/>
              </w:rPr>
              <w:t>Baseline</w:t>
            </w:r>
          </w:p>
        </w:tc>
        <w:tc>
          <w:tcPr>
            <w:tcW w:type="dxa" w:w="1040"/>
            <w:shd w:val="clear" w:color="auto" w:fill="edf2f7"/>
          </w:tcPr>
          <w:p>
            <w:pPr>
              <w:jc w:val="center"/>
            </w:pPr>
            <w:r/>
            <w:r>
              <w:rPr>
                <w:b w:val="0"/>
                <w:sz w:val="16"/>
              </w:rPr>
              <w:t>252</w:t>
            </w:r>
          </w:p>
        </w:tc>
        <w:tc>
          <w:tcPr>
            <w:tcW w:type="dxa" w:w="1040"/>
            <w:shd w:val="clear" w:color="auto" w:fill="edf2f7"/>
          </w:tcPr>
          <w:p>
            <w:pPr>
              <w:jc w:val="center"/>
            </w:pPr>
            <w:r/>
            <w:r>
              <w:rPr>
                <w:b w:val="0"/>
                <w:sz w:val="16"/>
              </w:rPr>
              <w:t>39.4</w:t>
            </w:r>
          </w:p>
        </w:tc>
        <w:tc>
          <w:tcPr>
            <w:tcW w:type="dxa" w:w="1040"/>
            <w:shd w:val="clear" w:color="auto" w:fill="edf2f7"/>
          </w:tcPr>
          <w:p>
            <w:pPr>
              <w:jc w:val="center"/>
            </w:pPr>
            <w:r/>
            <w:r>
              <w:rPr>
                <w:b w:val="0"/>
                <w:sz w:val="16"/>
              </w:rPr>
              <w:t>6.58</w:t>
            </w:r>
          </w:p>
        </w:tc>
        <w:tc>
          <w:tcPr>
            <w:tcW w:type="dxa" w:w="1040"/>
            <w:shd w:val="clear" w:color="auto" w:fill="edf2f7"/>
          </w:tcPr>
          <w:p>
            <w:pPr>
              <w:jc w:val="center"/>
            </w:pPr>
            <w:r/>
            <w:r>
              <w:rPr>
                <w:b w:val="0"/>
                <w:sz w:val="16"/>
              </w:rPr>
              <w:t>9.50</w:t>
            </w:r>
          </w:p>
        </w:tc>
        <w:tc>
          <w:tcPr>
            <w:tcW w:type="dxa" w:w="1040"/>
            <w:shd w:val="clear" w:color="auto" w:fill="edf2f7"/>
          </w:tcPr>
          <w:p>
            <w:pPr>
              <w:jc w:val="center"/>
            </w:pPr>
            <w:r/>
            <w:r>
              <w:rPr>
                <w:b w:val="0"/>
                <w:sz w:val="16"/>
              </w:rPr>
              <w:t>27.6</w:t>
            </w:r>
          </w:p>
        </w:tc>
        <w:tc>
          <w:tcPr>
            <w:tcW w:type="dxa" w:w="1040"/>
            <w:shd w:val="clear" w:color="auto" w:fill="edf2f7"/>
          </w:tcPr>
          <w:p>
            <w:pPr>
              <w:jc w:val="center"/>
            </w:pPr>
            <w:r/>
            <w:r>
              <w:rPr>
                <w:b w:val="0"/>
                <w:sz w:val="16"/>
              </w:rPr>
              <w:t>52.2</w:t>
            </w:r>
          </w:p>
        </w:tc>
        <w:tc>
          <w:tcPr>
            <w:tcW w:type="dxa" w:w="1040"/>
            <w:shd w:val="clear" w:color="auto" w:fill="edf2f7"/>
          </w:tcPr>
          <w:p>
            <w:pPr>
              <w:jc w:val="center"/>
            </w:pPr>
            <w:r/>
            <w:r>
              <w:rPr>
                <w:b w:val="0"/>
                <w:sz w:val="16"/>
              </w:rPr>
              <w:t>14.4 %</w:t>
            </w:r>
          </w:p>
        </w:tc>
      </w:tr>
      <w:tr>
        <w:tc>
          <w:tcPr>
            <w:tcW w:type="dxa" w:w="1040"/>
            <w:shd w:val="clear" w:color="auto" w:fill="ffffff"/>
          </w:tcPr>
          <w:p>
            <w:pPr>
              <w:jc w:val="left"/>
            </w:pPr>
            <w:r/>
            <w:r>
              <w:rPr>
                <w:b/>
                <w:sz w:val="16"/>
              </w:rPr>
              <w:t>S02</w:t>
            </w:r>
          </w:p>
        </w:tc>
        <w:tc>
          <w:tcPr>
            <w:tcW w:type="dxa" w:w="1040"/>
            <w:shd w:val="clear" w:color="auto" w:fill="ffffff"/>
          </w:tcPr>
          <w:p>
            <w:pPr>
              <w:jc w:val="left"/>
            </w:pPr>
            <w:r/>
            <w:r>
              <w:rPr>
                <w:b w:val="0"/>
                <w:sz w:val="16"/>
              </w:rPr>
              <w:t>COVID Crash</w:t>
            </w:r>
          </w:p>
        </w:tc>
        <w:tc>
          <w:tcPr>
            <w:tcW w:type="dxa" w:w="1040"/>
            <w:shd w:val="clear" w:color="auto" w:fill="ffffff"/>
          </w:tcPr>
          <w:p>
            <w:pPr>
              <w:jc w:val="center"/>
            </w:pPr>
            <w:r/>
            <w:r>
              <w:rPr>
                <w:b w:val="0"/>
                <w:sz w:val="16"/>
              </w:rPr>
              <w:t>63</w:t>
            </w:r>
          </w:p>
        </w:tc>
        <w:tc>
          <w:tcPr>
            <w:tcW w:type="dxa" w:w="1040"/>
            <w:shd w:val="clear" w:color="auto" w:fill="ffffff"/>
          </w:tcPr>
          <w:p>
            <w:pPr>
              <w:jc w:val="center"/>
            </w:pPr>
            <w:r/>
            <w:r>
              <w:rPr>
                <w:b w:val="0"/>
                <w:sz w:val="16"/>
              </w:rPr>
              <w:t>100.0</w:t>
            </w:r>
          </w:p>
        </w:tc>
        <w:tc>
          <w:tcPr>
            <w:tcW w:type="dxa" w:w="1040"/>
            <w:shd w:val="clear" w:color="auto" w:fill="ffffff"/>
          </w:tcPr>
          <w:p>
            <w:pPr>
              <w:jc w:val="center"/>
            </w:pPr>
            <w:r/>
            <w:r>
              <w:rPr>
                <w:b w:val="0"/>
                <w:sz w:val="16"/>
              </w:rPr>
              <w:t>16.96</w:t>
            </w:r>
          </w:p>
        </w:tc>
        <w:tc>
          <w:tcPr>
            <w:tcW w:type="dxa" w:w="1040"/>
            <w:shd w:val="clear" w:color="auto" w:fill="ffffff"/>
          </w:tcPr>
          <w:p>
            <w:pPr>
              <w:jc w:val="center"/>
            </w:pPr>
            <w:r/>
            <w:r>
              <w:rPr>
                <w:b w:val="0"/>
                <w:sz w:val="16"/>
              </w:rPr>
              <w:t>27.78</w:t>
            </w:r>
          </w:p>
        </w:tc>
        <w:tc>
          <w:tcPr>
            <w:tcW w:type="dxa" w:w="1040"/>
            <w:shd w:val="clear" w:color="auto" w:fill="ffffff"/>
          </w:tcPr>
          <w:p>
            <w:pPr>
              <w:jc w:val="center"/>
            </w:pPr>
            <w:r/>
            <w:r>
              <w:rPr>
                <w:b w:val="0"/>
                <w:sz w:val="16"/>
              </w:rPr>
              <w:t>31.7</w:t>
            </w:r>
          </w:p>
        </w:tc>
        <w:tc>
          <w:tcPr>
            <w:tcW w:type="dxa" w:w="1040"/>
            <w:shd w:val="clear" w:color="auto" w:fill="ffffff"/>
          </w:tcPr>
          <w:p>
            <w:pPr>
              <w:jc w:val="center"/>
            </w:pPr>
            <w:r/>
            <w:r>
              <w:rPr>
                <w:b w:val="0"/>
                <w:sz w:val="16"/>
              </w:rPr>
              <w:t>66.4</w:t>
            </w:r>
          </w:p>
        </w:tc>
        <w:tc>
          <w:tcPr>
            <w:tcW w:type="dxa" w:w="1040"/>
            <w:shd w:val="clear" w:color="auto" w:fill="ffffff"/>
          </w:tcPr>
          <w:p>
            <w:pPr>
              <w:jc w:val="center"/>
            </w:pPr>
            <w:r/>
            <w:r>
              <w:rPr>
                <w:b w:val="0"/>
                <w:sz w:val="16"/>
              </w:rPr>
              <w:t>25.7 %</w:t>
            </w:r>
          </w:p>
        </w:tc>
      </w:tr>
      <w:tr>
        <w:tc>
          <w:tcPr>
            <w:tcW w:type="dxa" w:w="1040"/>
            <w:shd w:val="clear" w:color="auto" w:fill="edf2f7"/>
          </w:tcPr>
          <w:p>
            <w:pPr>
              <w:jc w:val="left"/>
            </w:pPr>
            <w:r/>
            <w:r>
              <w:rPr>
                <w:b/>
                <w:sz w:val="16"/>
              </w:rPr>
              <w:t>S03</w:t>
            </w:r>
          </w:p>
        </w:tc>
        <w:tc>
          <w:tcPr>
            <w:tcW w:type="dxa" w:w="1040"/>
            <w:shd w:val="clear" w:color="auto" w:fill="edf2f7"/>
          </w:tcPr>
          <w:p>
            <w:pPr>
              <w:jc w:val="left"/>
            </w:pPr>
            <w:r/>
            <w:r>
              <w:rPr>
                <w:b w:val="0"/>
                <w:sz w:val="16"/>
              </w:rPr>
              <w:t>Russia-Ukraine</w:t>
            </w:r>
          </w:p>
        </w:tc>
        <w:tc>
          <w:tcPr>
            <w:tcW w:type="dxa" w:w="1040"/>
            <w:shd w:val="clear" w:color="auto" w:fill="edf2f7"/>
          </w:tcPr>
          <w:p>
            <w:pPr>
              <w:jc w:val="center"/>
            </w:pPr>
            <w:r/>
            <w:r>
              <w:rPr>
                <w:b w:val="0"/>
                <w:sz w:val="16"/>
              </w:rPr>
              <w:t>126</w:t>
            </w:r>
          </w:p>
        </w:tc>
        <w:tc>
          <w:tcPr>
            <w:tcW w:type="dxa" w:w="1040"/>
            <w:shd w:val="clear" w:color="auto" w:fill="edf2f7"/>
          </w:tcPr>
          <w:p>
            <w:pPr>
              <w:jc w:val="center"/>
            </w:pPr>
            <w:r/>
            <w:r>
              <w:rPr>
                <w:b w:val="0"/>
                <w:sz w:val="16"/>
              </w:rPr>
              <w:t>49.7</w:t>
            </w:r>
          </w:p>
        </w:tc>
        <w:tc>
          <w:tcPr>
            <w:tcW w:type="dxa" w:w="1040"/>
            <w:shd w:val="clear" w:color="auto" w:fill="edf2f7"/>
          </w:tcPr>
          <w:p>
            <w:pPr>
              <w:jc w:val="center"/>
            </w:pPr>
            <w:r/>
            <w:r>
              <w:rPr>
                <w:b w:val="0"/>
                <w:sz w:val="16"/>
              </w:rPr>
              <w:t>8.31</w:t>
            </w:r>
          </w:p>
        </w:tc>
        <w:tc>
          <w:tcPr>
            <w:tcW w:type="dxa" w:w="1040"/>
            <w:shd w:val="clear" w:color="auto" w:fill="edf2f7"/>
          </w:tcPr>
          <w:p>
            <w:pPr>
              <w:jc w:val="center"/>
            </w:pPr>
            <w:r/>
            <w:r>
              <w:rPr>
                <w:b w:val="0"/>
                <w:sz w:val="16"/>
              </w:rPr>
              <w:t>11.59</w:t>
            </w:r>
          </w:p>
        </w:tc>
        <w:tc>
          <w:tcPr>
            <w:tcW w:type="dxa" w:w="1040"/>
            <w:shd w:val="clear" w:color="auto" w:fill="edf2f7"/>
          </w:tcPr>
          <w:p>
            <w:pPr>
              <w:jc w:val="center"/>
            </w:pPr>
            <w:r/>
            <w:r>
              <w:rPr>
                <w:b w:val="0"/>
                <w:sz w:val="16"/>
              </w:rPr>
              <w:t>24.4</w:t>
            </w:r>
          </w:p>
        </w:tc>
        <w:tc>
          <w:tcPr>
            <w:tcW w:type="dxa" w:w="1040"/>
            <w:shd w:val="clear" w:color="auto" w:fill="edf2f7"/>
          </w:tcPr>
          <w:p>
            <w:pPr>
              <w:jc w:val="center"/>
            </w:pPr>
            <w:r/>
            <w:r>
              <w:rPr>
                <w:b w:val="0"/>
                <w:sz w:val="16"/>
              </w:rPr>
              <w:t>46.0</w:t>
            </w:r>
          </w:p>
        </w:tc>
        <w:tc>
          <w:tcPr>
            <w:tcW w:type="dxa" w:w="1040"/>
            <w:shd w:val="clear" w:color="auto" w:fill="edf2f7"/>
          </w:tcPr>
          <w:p>
            <w:pPr>
              <w:jc w:val="center"/>
            </w:pPr>
            <w:r/>
            <w:r>
              <w:rPr>
                <w:b w:val="0"/>
                <w:sz w:val="16"/>
              </w:rPr>
              <w:t>8.8 %</w:t>
            </w:r>
          </w:p>
        </w:tc>
      </w:tr>
      <w:tr>
        <w:tc>
          <w:tcPr>
            <w:tcW w:type="dxa" w:w="1040"/>
            <w:shd w:val="clear" w:color="auto" w:fill="ffffff"/>
          </w:tcPr>
          <w:p>
            <w:pPr>
              <w:jc w:val="left"/>
            </w:pPr>
            <w:r/>
            <w:r>
              <w:rPr>
                <w:b/>
                <w:sz w:val="16"/>
              </w:rPr>
              <w:t>S04</w:t>
            </w:r>
          </w:p>
        </w:tc>
        <w:tc>
          <w:tcPr>
            <w:tcW w:type="dxa" w:w="1040"/>
            <w:shd w:val="clear" w:color="auto" w:fill="ffffff"/>
          </w:tcPr>
          <w:p>
            <w:pPr>
              <w:jc w:val="left"/>
            </w:pPr>
            <w:r/>
            <w:r>
              <w:rPr>
                <w:b w:val="0"/>
                <w:sz w:val="16"/>
              </w:rPr>
              <w:t>OPEC+ Shock</w:t>
            </w:r>
          </w:p>
        </w:tc>
        <w:tc>
          <w:tcPr>
            <w:tcW w:type="dxa" w:w="1040"/>
            <w:shd w:val="clear" w:color="auto" w:fill="ffffff"/>
          </w:tcPr>
          <w:p>
            <w:pPr>
              <w:jc w:val="center"/>
            </w:pPr>
            <w:r/>
            <w:r>
              <w:rPr>
                <w:b w:val="0"/>
                <w:sz w:val="16"/>
              </w:rPr>
              <w:t>63</w:t>
            </w:r>
          </w:p>
        </w:tc>
        <w:tc>
          <w:tcPr>
            <w:tcW w:type="dxa" w:w="1040"/>
            <w:shd w:val="clear" w:color="auto" w:fill="ffffff"/>
          </w:tcPr>
          <w:p>
            <w:pPr>
              <w:jc w:val="center"/>
            </w:pPr>
            <w:r/>
            <w:r>
              <w:rPr>
                <w:b w:val="0"/>
                <w:sz w:val="16"/>
              </w:rPr>
              <w:t>58.1</w:t>
            </w:r>
          </w:p>
        </w:tc>
        <w:tc>
          <w:tcPr>
            <w:tcW w:type="dxa" w:w="1040"/>
            <w:shd w:val="clear" w:color="auto" w:fill="ffffff"/>
          </w:tcPr>
          <w:p>
            <w:pPr>
              <w:jc w:val="center"/>
            </w:pPr>
            <w:r/>
            <w:r>
              <w:rPr>
                <w:b w:val="0"/>
                <w:sz w:val="16"/>
              </w:rPr>
              <w:t>9.82</w:t>
            </w:r>
          </w:p>
        </w:tc>
        <w:tc>
          <w:tcPr>
            <w:tcW w:type="dxa" w:w="1040"/>
            <w:shd w:val="clear" w:color="auto" w:fill="ffffff"/>
          </w:tcPr>
          <w:p>
            <w:pPr>
              <w:jc w:val="center"/>
            </w:pPr>
            <w:r/>
            <w:r>
              <w:rPr>
                <w:b w:val="0"/>
                <w:sz w:val="16"/>
              </w:rPr>
              <w:t>14.86</w:t>
            </w:r>
          </w:p>
        </w:tc>
        <w:tc>
          <w:tcPr>
            <w:tcW w:type="dxa" w:w="1040"/>
            <w:shd w:val="clear" w:color="auto" w:fill="ffffff"/>
          </w:tcPr>
          <w:p>
            <w:pPr>
              <w:jc w:val="center"/>
            </w:pPr>
            <w:r/>
            <w:r>
              <w:rPr>
                <w:b w:val="0"/>
                <w:sz w:val="16"/>
              </w:rPr>
              <w:t>20.4</w:t>
            </w:r>
          </w:p>
        </w:tc>
        <w:tc>
          <w:tcPr>
            <w:tcW w:type="dxa" w:w="1040"/>
            <w:shd w:val="clear" w:color="auto" w:fill="ffffff"/>
          </w:tcPr>
          <w:p>
            <w:pPr>
              <w:jc w:val="center"/>
            </w:pPr>
            <w:r/>
            <w:r>
              <w:rPr>
                <w:b w:val="0"/>
                <w:sz w:val="16"/>
              </w:rPr>
              <w:t>44.2</w:t>
            </w:r>
          </w:p>
        </w:tc>
        <w:tc>
          <w:tcPr>
            <w:tcW w:type="dxa" w:w="1040"/>
            <w:shd w:val="clear" w:color="auto" w:fill="ffffff"/>
          </w:tcPr>
          <w:p>
            <w:pPr>
              <w:jc w:val="center"/>
            </w:pPr>
            <w:r/>
            <w:r>
              <w:rPr>
                <w:b w:val="0"/>
                <w:sz w:val="16"/>
              </w:rPr>
              <w:t>6.8 %</w:t>
            </w:r>
          </w:p>
        </w:tc>
      </w:tr>
      <w:tr>
        <w:tc>
          <w:tcPr>
            <w:tcW w:type="dxa" w:w="1040"/>
            <w:shd w:val="clear" w:color="auto" w:fill="edf2f7"/>
          </w:tcPr>
          <w:p>
            <w:pPr>
              <w:jc w:val="left"/>
            </w:pPr>
            <w:r/>
            <w:r>
              <w:rPr>
                <w:b/>
                <w:sz w:val="16"/>
              </w:rPr>
              <w:t>S05</w:t>
            </w:r>
          </w:p>
        </w:tc>
        <w:tc>
          <w:tcPr>
            <w:tcW w:type="dxa" w:w="1040"/>
            <w:shd w:val="clear" w:color="auto" w:fill="edf2f7"/>
          </w:tcPr>
          <w:p>
            <w:pPr>
              <w:jc w:val="left"/>
            </w:pPr>
            <w:r/>
            <w:r>
              <w:rPr>
                <w:b w:val="0"/>
                <w:sz w:val="16"/>
              </w:rPr>
              <w:t>Global Recession</w:t>
            </w:r>
          </w:p>
        </w:tc>
        <w:tc>
          <w:tcPr>
            <w:tcW w:type="dxa" w:w="1040"/>
            <w:shd w:val="clear" w:color="auto" w:fill="edf2f7"/>
          </w:tcPr>
          <w:p>
            <w:pPr>
              <w:jc w:val="center"/>
            </w:pPr>
            <w:r/>
            <w:r>
              <w:rPr>
                <w:b w:val="0"/>
                <w:sz w:val="16"/>
              </w:rPr>
              <w:t>252</w:t>
            </w:r>
          </w:p>
        </w:tc>
        <w:tc>
          <w:tcPr>
            <w:tcW w:type="dxa" w:w="1040"/>
            <w:shd w:val="clear" w:color="auto" w:fill="edf2f7"/>
          </w:tcPr>
          <w:p>
            <w:pPr>
              <w:jc w:val="center"/>
            </w:pPr>
            <w:r/>
            <w:r>
              <w:rPr>
                <w:b w:val="0"/>
                <w:sz w:val="16"/>
              </w:rPr>
              <w:t>44.9</w:t>
            </w:r>
          </w:p>
        </w:tc>
        <w:tc>
          <w:tcPr>
            <w:tcW w:type="dxa" w:w="1040"/>
            <w:shd w:val="clear" w:color="auto" w:fill="edf2f7"/>
          </w:tcPr>
          <w:p>
            <w:pPr>
              <w:jc w:val="center"/>
            </w:pPr>
            <w:r/>
            <w:r>
              <w:rPr>
                <w:b w:val="0"/>
                <w:sz w:val="16"/>
              </w:rPr>
              <w:t>7.62</w:t>
            </w:r>
          </w:p>
        </w:tc>
        <w:tc>
          <w:tcPr>
            <w:tcW w:type="dxa" w:w="1040"/>
            <w:shd w:val="clear" w:color="auto" w:fill="edf2f7"/>
          </w:tcPr>
          <w:p>
            <w:pPr>
              <w:jc w:val="center"/>
            </w:pPr>
            <w:r/>
            <w:r>
              <w:rPr>
                <w:b w:val="0"/>
                <w:sz w:val="16"/>
              </w:rPr>
              <w:t>12.00</w:t>
            </w:r>
          </w:p>
        </w:tc>
        <w:tc>
          <w:tcPr>
            <w:tcW w:type="dxa" w:w="1040"/>
            <w:shd w:val="clear" w:color="auto" w:fill="edf2f7"/>
          </w:tcPr>
          <w:p>
            <w:pPr>
              <w:jc w:val="center"/>
            </w:pPr>
            <w:r/>
            <w:r>
              <w:rPr>
                <w:b w:val="0"/>
                <w:sz w:val="16"/>
              </w:rPr>
              <w:t>32.3</w:t>
            </w:r>
          </w:p>
        </w:tc>
        <w:tc>
          <w:tcPr>
            <w:tcW w:type="dxa" w:w="1040"/>
            <w:shd w:val="clear" w:color="auto" w:fill="edf2f7"/>
          </w:tcPr>
          <w:p>
            <w:pPr>
              <w:jc w:val="center"/>
            </w:pPr>
            <w:r/>
            <w:r>
              <w:rPr>
                <w:b w:val="0"/>
                <w:sz w:val="16"/>
              </w:rPr>
              <w:t>58.1</w:t>
            </w:r>
          </w:p>
        </w:tc>
        <w:tc>
          <w:tcPr>
            <w:tcW w:type="dxa" w:w="1040"/>
            <w:shd w:val="clear" w:color="auto" w:fill="edf2f7"/>
          </w:tcPr>
          <w:p>
            <w:pPr>
              <w:jc w:val="center"/>
            </w:pPr>
            <w:r/>
            <w:r>
              <w:rPr>
                <w:b w:val="0"/>
                <w:sz w:val="16"/>
              </w:rPr>
              <w:t>26.3 %</w:t>
            </w:r>
          </w:p>
        </w:tc>
      </w:tr>
      <w:tr>
        <w:tc>
          <w:tcPr>
            <w:tcW w:type="dxa" w:w="1040"/>
            <w:shd w:val="clear" w:color="auto" w:fill="ffffff"/>
          </w:tcPr>
          <w:p>
            <w:pPr>
              <w:jc w:val="left"/>
            </w:pPr>
            <w:r/>
            <w:r>
              <w:rPr>
                <w:b/>
                <w:sz w:val="16"/>
              </w:rPr>
              <w:t>S06</w:t>
            </w:r>
          </w:p>
        </w:tc>
        <w:tc>
          <w:tcPr>
            <w:tcW w:type="dxa" w:w="1040"/>
            <w:shd w:val="clear" w:color="auto" w:fill="ffffff"/>
          </w:tcPr>
          <w:p>
            <w:pPr>
              <w:jc w:val="left"/>
            </w:pPr>
            <w:r/>
            <w:r>
              <w:rPr>
                <w:b w:val="0"/>
                <w:sz w:val="16"/>
              </w:rPr>
              <w:t>Hormuz Closure</w:t>
            </w:r>
          </w:p>
        </w:tc>
        <w:tc>
          <w:tcPr>
            <w:tcW w:type="dxa" w:w="1040"/>
            <w:shd w:val="clear" w:color="auto" w:fill="ffffff"/>
          </w:tcPr>
          <w:p>
            <w:pPr>
              <w:jc w:val="center"/>
            </w:pPr>
            <w:r/>
            <w:r>
              <w:rPr>
                <w:b w:val="0"/>
                <w:sz w:val="16"/>
              </w:rPr>
              <w:t>42</w:t>
            </w:r>
          </w:p>
        </w:tc>
        <w:tc>
          <w:tcPr>
            <w:tcW w:type="dxa" w:w="1040"/>
            <w:shd w:val="clear" w:color="auto" w:fill="ffffff"/>
          </w:tcPr>
          <w:p>
            <w:pPr>
              <w:jc w:val="center"/>
            </w:pPr>
            <w:r/>
            <w:r>
              <w:rPr>
                <w:b w:val="0"/>
                <w:sz w:val="16"/>
              </w:rPr>
              <w:t>79.1</w:t>
            </w:r>
          </w:p>
        </w:tc>
        <w:tc>
          <w:tcPr>
            <w:tcW w:type="dxa" w:w="1040"/>
            <w:shd w:val="clear" w:color="auto" w:fill="ffffff"/>
          </w:tcPr>
          <w:p>
            <w:pPr>
              <w:jc w:val="center"/>
            </w:pPr>
            <w:r/>
            <w:r>
              <w:rPr>
                <w:b w:val="0"/>
                <w:sz w:val="16"/>
              </w:rPr>
              <w:t>12.83</w:t>
            </w:r>
          </w:p>
        </w:tc>
        <w:tc>
          <w:tcPr>
            <w:tcW w:type="dxa" w:w="1040"/>
            <w:shd w:val="clear" w:color="auto" w:fill="ffffff"/>
          </w:tcPr>
          <w:p>
            <w:pPr>
              <w:jc w:val="center"/>
            </w:pPr>
            <w:r/>
            <w:r>
              <w:rPr>
                <w:b w:val="0"/>
                <w:sz w:val="16"/>
              </w:rPr>
              <w:t>16.38</w:t>
            </w:r>
          </w:p>
        </w:tc>
        <w:tc>
          <w:tcPr>
            <w:tcW w:type="dxa" w:w="1040"/>
            <w:shd w:val="clear" w:color="auto" w:fill="ffffff"/>
          </w:tcPr>
          <w:p>
            <w:pPr>
              <w:jc w:val="center"/>
            </w:pPr>
            <w:r/>
            <w:r>
              <w:rPr>
                <w:b w:val="0"/>
                <w:sz w:val="16"/>
              </w:rPr>
              <w:t>25.8</w:t>
            </w:r>
          </w:p>
        </w:tc>
        <w:tc>
          <w:tcPr>
            <w:tcW w:type="dxa" w:w="1040"/>
            <w:shd w:val="clear" w:color="auto" w:fill="ffffff"/>
          </w:tcPr>
          <w:p>
            <w:pPr>
              <w:jc w:val="center"/>
            </w:pPr>
            <w:r/>
            <w:r>
              <w:rPr>
                <w:b w:val="0"/>
                <w:sz w:val="16"/>
              </w:rPr>
              <w:t>48.0</w:t>
            </w:r>
          </w:p>
        </w:tc>
        <w:tc>
          <w:tcPr>
            <w:tcW w:type="dxa" w:w="1040"/>
            <w:shd w:val="clear" w:color="auto" w:fill="ffffff"/>
          </w:tcPr>
          <w:p>
            <w:pPr>
              <w:jc w:val="center"/>
            </w:pPr>
            <w:r/>
            <w:r>
              <w:rPr>
                <w:b w:val="0"/>
                <w:sz w:val="16"/>
              </w:rPr>
              <w:t>11.6 %</w:t>
            </w:r>
          </w:p>
        </w:tc>
      </w:tr>
      <w:tr>
        <w:tc>
          <w:tcPr>
            <w:tcW w:type="dxa" w:w="1040"/>
            <w:shd w:val="clear" w:color="auto" w:fill="edf2f7"/>
          </w:tcPr>
          <w:p>
            <w:pPr>
              <w:jc w:val="left"/>
            </w:pPr>
            <w:r/>
            <w:r>
              <w:rPr>
                <w:b/>
                <w:sz w:val="16"/>
              </w:rPr>
              <w:t>S07</w:t>
            </w:r>
          </w:p>
        </w:tc>
        <w:tc>
          <w:tcPr>
            <w:tcW w:type="dxa" w:w="1040"/>
            <w:shd w:val="clear" w:color="auto" w:fill="edf2f7"/>
          </w:tcPr>
          <w:p>
            <w:pPr>
              <w:jc w:val="left"/>
            </w:pPr>
            <w:r/>
            <w:r>
              <w:rPr>
                <w:b w:val="0"/>
                <w:sz w:val="16"/>
              </w:rPr>
              <w:t>Energy Transition</w:t>
            </w:r>
          </w:p>
        </w:tc>
        <w:tc>
          <w:tcPr>
            <w:tcW w:type="dxa" w:w="1040"/>
            <w:shd w:val="clear" w:color="auto" w:fill="edf2f7"/>
          </w:tcPr>
          <w:p>
            <w:pPr>
              <w:jc w:val="center"/>
            </w:pPr>
            <w:r/>
            <w:r>
              <w:rPr>
                <w:b w:val="0"/>
                <w:sz w:val="16"/>
              </w:rPr>
              <w:t>504</w:t>
            </w:r>
          </w:p>
        </w:tc>
        <w:tc>
          <w:tcPr>
            <w:tcW w:type="dxa" w:w="1040"/>
            <w:shd w:val="clear" w:color="auto" w:fill="edf2f7"/>
          </w:tcPr>
          <w:p>
            <w:pPr>
              <w:jc w:val="center"/>
            </w:pPr>
            <w:r/>
            <w:r>
              <w:rPr>
                <w:b w:val="0"/>
                <w:sz w:val="16"/>
              </w:rPr>
              <w:t>39.9</w:t>
            </w:r>
          </w:p>
        </w:tc>
        <w:tc>
          <w:tcPr>
            <w:tcW w:type="dxa" w:w="1040"/>
            <w:shd w:val="clear" w:color="auto" w:fill="edf2f7"/>
          </w:tcPr>
          <w:p>
            <w:pPr>
              <w:jc w:val="center"/>
            </w:pPr>
            <w:r/>
            <w:r>
              <w:rPr>
                <w:b w:val="0"/>
                <w:sz w:val="16"/>
              </w:rPr>
              <w:t>6.65</w:t>
            </w:r>
          </w:p>
        </w:tc>
        <w:tc>
          <w:tcPr>
            <w:tcW w:type="dxa" w:w="1040"/>
            <w:shd w:val="clear" w:color="auto" w:fill="edf2f7"/>
          </w:tcPr>
          <w:p>
            <w:pPr>
              <w:jc w:val="center"/>
            </w:pPr>
            <w:r/>
            <w:r>
              <w:rPr>
                <w:b w:val="0"/>
                <w:sz w:val="16"/>
              </w:rPr>
              <w:t>9.10</w:t>
            </w:r>
          </w:p>
        </w:tc>
        <w:tc>
          <w:tcPr>
            <w:tcW w:type="dxa" w:w="1040"/>
            <w:shd w:val="clear" w:color="auto" w:fill="edf2f7"/>
          </w:tcPr>
          <w:p>
            <w:pPr>
              <w:jc w:val="center"/>
            </w:pPr>
            <w:r/>
            <w:r>
              <w:rPr>
                <w:b w:val="0"/>
                <w:sz w:val="16"/>
              </w:rPr>
              <w:t>43.5</w:t>
            </w:r>
          </w:p>
        </w:tc>
        <w:tc>
          <w:tcPr>
            <w:tcW w:type="dxa" w:w="1040"/>
            <w:shd w:val="clear" w:color="auto" w:fill="edf2f7"/>
          </w:tcPr>
          <w:p>
            <w:pPr>
              <w:jc w:val="center"/>
            </w:pPr>
            <w:r/>
            <w:r>
              <w:rPr>
                <w:b w:val="0"/>
                <w:sz w:val="16"/>
              </w:rPr>
              <w:t>69.7</w:t>
            </w:r>
          </w:p>
        </w:tc>
        <w:tc>
          <w:tcPr>
            <w:tcW w:type="dxa" w:w="1040"/>
            <w:shd w:val="clear" w:color="auto" w:fill="edf2f7"/>
          </w:tcPr>
          <w:p>
            <w:pPr>
              <w:jc w:val="center"/>
            </w:pPr>
            <w:r/>
            <w:r>
              <w:rPr>
                <w:b w:val="0"/>
                <w:sz w:val="16"/>
              </w:rPr>
              <w:t>53.7 %</w:t>
            </w:r>
          </w:p>
        </w:tc>
      </w:tr>
      <w:tr>
        <w:tc>
          <w:tcPr>
            <w:tcW w:type="dxa" w:w="1040"/>
            <w:shd w:val="clear" w:color="auto" w:fill="ffffff"/>
          </w:tcPr>
          <w:p>
            <w:pPr>
              <w:jc w:val="left"/>
            </w:pPr>
            <w:r/>
            <w:r>
              <w:rPr>
                <w:b/>
                <w:sz w:val="16"/>
              </w:rPr>
              <w:t>S08</w:t>
            </w:r>
          </w:p>
        </w:tc>
        <w:tc>
          <w:tcPr>
            <w:tcW w:type="dxa" w:w="1040"/>
            <w:shd w:val="clear" w:color="auto" w:fill="ffffff"/>
          </w:tcPr>
          <w:p>
            <w:pPr>
              <w:jc w:val="left"/>
            </w:pPr>
            <w:r/>
            <w:r>
              <w:rPr>
                <w:b w:val="0"/>
                <w:sz w:val="16"/>
              </w:rPr>
              <w:t>Dollar Spike</w:t>
            </w:r>
          </w:p>
        </w:tc>
        <w:tc>
          <w:tcPr>
            <w:tcW w:type="dxa" w:w="1040"/>
            <w:shd w:val="clear" w:color="auto" w:fill="ffffff"/>
          </w:tcPr>
          <w:p>
            <w:pPr>
              <w:jc w:val="center"/>
            </w:pPr>
            <w:r/>
            <w:r>
              <w:rPr>
                <w:b w:val="0"/>
                <w:sz w:val="16"/>
              </w:rPr>
              <w:t>126</w:t>
            </w:r>
          </w:p>
        </w:tc>
        <w:tc>
          <w:tcPr>
            <w:tcW w:type="dxa" w:w="1040"/>
            <w:shd w:val="clear" w:color="auto" w:fill="ffffff"/>
          </w:tcPr>
          <w:p>
            <w:pPr>
              <w:jc w:val="center"/>
            </w:pPr>
            <w:r/>
            <w:r>
              <w:rPr>
                <w:b w:val="0"/>
                <w:sz w:val="16"/>
              </w:rPr>
              <w:t>56.4</w:t>
            </w:r>
          </w:p>
        </w:tc>
        <w:tc>
          <w:tcPr>
            <w:tcW w:type="dxa" w:w="1040"/>
            <w:shd w:val="clear" w:color="auto" w:fill="ffffff"/>
          </w:tcPr>
          <w:p>
            <w:pPr>
              <w:jc w:val="center"/>
            </w:pPr>
            <w:r/>
            <w:r>
              <w:rPr>
                <w:b w:val="0"/>
                <w:sz w:val="16"/>
              </w:rPr>
              <w:t>9.05</w:t>
            </w:r>
          </w:p>
        </w:tc>
        <w:tc>
          <w:tcPr>
            <w:tcW w:type="dxa" w:w="1040"/>
            <w:shd w:val="clear" w:color="auto" w:fill="ffffff"/>
          </w:tcPr>
          <w:p>
            <w:pPr>
              <w:jc w:val="center"/>
            </w:pPr>
            <w:r/>
            <w:r>
              <w:rPr>
                <w:b w:val="0"/>
                <w:sz w:val="16"/>
              </w:rPr>
              <w:t>12.34</w:t>
            </w:r>
          </w:p>
        </w:tc>
        <w:tc>
          <w:tcPr>
            <w:tcW w:type="dxa" w:w="1040"/>
            <w:shd w:val="clear" w:color="auto" w:fill="ffffff"/>
          </w:tcPr>
          <w:p>
            <w:pPr>
              <w:jc w:val="center"/>
            </w:pPr>
            <w:r/>
            <w:r>
              <w:rPr>
                <w:b w:val="0"/>
                <w:sz w:val="16"/>
              </w:rPr>
              <w:t>29.3</w:t>
            </w:r>
          </w:p>
        </w:tc>
        <w:tc>
          <w:tcPr>
            <w:tcW w:type="dxa" w:w="1040"/>
            <w:shd w:val="clear" w:color="auto" w:fill="ffffff"/>
          </w:tcPr>
          <w:p>
            <w:pPr>
              <w:jc w:val="center"/>
            </w:pPr>
            <w:r/>
            <w:r>
              <w:rPr>
                <w:b w:val="0"/>
                <w:sz w:val="16"/>
              </w:rPr>
              <w:t>48.6</w:t>
            </w:r>
          </w:p>
        </w:tc>
        <w:tc>
          <w:tcPr>
            <w:tcW w:type="dxa" w:w="1040"/>
            <w:shd w:val="clear" w:color="auto" w:fill="ffffff"/>
          </w:tcPr>
          <w:p>
            <w:pPr>
              <w:jc w:val="center"/>
            </w:pPr>
            <w:r/>
            <w:r>
              <w:rPr>
                <w:b w:val="0"/>
                <w:sz w:val="16"/>
              </w:rPr>
              <w:t>13.8 %</w:t>
            </w:r>
          </w:p>
        </w:tc>
      </w:tr>
      <w:tr>
        <w:tc>
          <w:tcPr>
            <w:tcW w:type="dxa" w:w="1040"/>
            <w:shd w:val="clear" w:color="auto" w:fill="edf2f7"/>
          </w:tcPr>
          <w:p>
            <w:pPr>
              <w:jc w:val="left"/>
            </w:pPr>
            <w:r/>
            <w:r>
              <w:rPr>
                <w:b/>
                <w:sz w:val="16"/>
              </w:rPr>
              <w:t>S09</w:t>
            </w:r>
          </w:p>
        </w:tc>
        <w:tc>
          <w:tcPr>
            <w:tcW w:type="dxa" w:w="1040"/>
            <w:shd w:val="clear" w:color="auto" w:fill="edf2f7"/>
          </w:tcPr>
          <w:p>
            <w:pPr>
              <w:jc w:val="left"/>
            </w:pPr>
            <w:r/>
            <w:r>
              <w:rPr>
                <w:b w:val="0"/>
                <w:sz w:val="16"/>
              </w:rPr>
              <w:t>Stagflation</w:t>
            </w:r>
          </w:p>
        </w:tc>
        <w:tc>
          <w:tcPr>
            <w:tcW w:type="dxa" w:w="1040"/>
            <w:shd w:val="clear" w:color="auto" w:fill="edf2f7"/>
          </w:tcPr>
          <w:p>
            <w:pPr>
              <w:jc w:val="center"/>
            </w:pPr>
            <w:r/>
            <w:r>
              <w:rPr>
                <w:b w:val="0"/>
                <w:sz w:val="16"/>
              </w:rPr>
              <w:t>252</w:t>
            </w:r>
          </w:p>
        </w:tc>
        <w:tc>
          <w:tcPr>
            <w:tcW w:type="dxa" w:w="1040"/>
            <w:shd w:val="clear" w:color="auto" w:fill="edf2f7"/>
          </w:tcPr>
          <w:p>
            <w:pPr>
              <w:jc w:val="center"/>
            </w:pPr>
            <w:r/>
            <w:r>
              <w:rPr>
                <w:b w:val="0"/>
                <w:sz w:val="16"/>
              </w:rPr>
              <w:t>51.1</w:t>
            </w:r>
          </w:p>
        </w:tc>
        <w:tc>
          <w:tcPr>
            <w:tcW w:type="dxa" w:w="1040"/>
            <w:shd w:val="clear" w:color="auto" w:fill="edf2f7"/>
          </w:tcPr>
          <w:p>
            <w:pPr>
              <w:jc w:val="center"/>
            </w:pPr>
            <w:r/>
            <w:r>
              <w:rPr>
                <w:b w:val="0"/>
                <w:sz w:val="16"/>
              </w:rPr>
              <w:t>8.06</w:t>
            </w:r>
          </w:p>
        </w:tc>
        <w:tc>
          <w:tcPr>
            <w:tcW w:type="dxa" w:w="1040"/>
            <w:shd w:val="clear" w:color="auto" w:fill="edf2f7"/>
          </w:tcPr>
          <w:p>
            <w:pPr>
              <w:jc w:val="center"/>
            </w:pPr>
            <w:r/>
            <w:r>
              <w:rPr>
                <w:b w:val="0"/>
                <w:sz w:val="16"/>
              </w:rPr>
              <w:t>14.11</w:t>
            </w:r>
          </w:p>
        </w:tc>
        <w:tc>
          <w:tcPr>
            <w:tcW w:type="dxa" w:w="1040"/>
            <w:shd w:val="clear" w:color="auto" w:fill="edf2f7"/>
          </w:tcPr>
          <w:p>
            <w:pPr>
              <w:jc w:val="center"/>
            </w:pPr>
            <w:r/>
            <w:r>
              <w:rPr>
                <w:b w:val="0"/>
                <w:sz w:val="16"/>
              </w:rPr>
              <w:t>31.5</w:t>
            </w:r>
          </w:p>
        </w:tc>
        <w:tc>
          <w:tcPr>
            <w:tcW w:type="dxa" w:w="1040"/>
            <w:shd w:val="clear" w:color="auto" w:fill="edf2f7"/>
          </w:tcPr>
          <w:p>
            <w:pPr>
              <w:jc w:val="center"/>
            </w:pPr>
            <w:r/>
            <w:r>
              <w:rPr>
                <w:b w:val="0"/>
                <w:sz w:val="16"/>
              </w:rPr>
              <w:t>59.3</w:t>
            </w:r>
          </w:p>
        </w:tc>
        <w:tc>
          <w:tcPr>
            <w:tcW w:type="dxa" w:w="1040"/>
            <w:shd w:val="clear" w:color="auto" w:fill="edf2f7"/>
          </w:tcPr>
          <w:p>
            <w:pPr>
              <w:jc w:val="center"/>
            </w:pPr>
            <w:r/>
            <w:r>
              <w:rPr>
                <w:b w:val="0"/>
                <w:sz w:val="16"/>
              </w:rPr>
              <w:t>24.3 %</w:t>
            </w:r>
          </w:p>
        </w:tc>
      </w:tr>
      <w:tr>
        <w:tc>
          <w:tcPr>
            <w:tcW w:type="dxa" w:w="1040"/>
            <w:shd w:val="clear" w:color="auto" w:fill="ffffff"/>
          </w:tcPr>
          <w:p>
            <w:pPr>
              <w:jc w:val="left"/>
            </w:pPr>
            <w:r/>
            <w:r>
              <w:rPr>
                <w:b/>
                <w:sz w:val="16"/>
              </w:rPr>
              <w:t>S10</w:t>
            </w:r>
          </w:p>
        </w:tc>
        <w:tc>
          <w:tcPr>
            <w:tcW w:type="dxa" w:w="1040"/>
            <w:shd w:val="clear" w:color="auto" w:fill="ffffff"/>
          </w:tcPr>
          <w:p>
            <w:pPr>
              <w:jc w:val="left"/>
            </w:pPr>
            <w:r/>
            <w:r>
              <w:rPr>
                <w:b w:val="0"/>
                <w:sz w:val="16"/>
              </w:rPr>
              <w:t>Soft Landing</w:t>
            </w:r>
          </w:p>
        </w:tc>
        <w:tc>
          <w:tcPr>
            <w:tcW w:type="dxa" w:w="1040"/>
            <w:shd w:val="clear" w:color="auto" w:fill="ffffff"/>
          </w:tcPr>
          <w:p>
            <w:pPr>
              <w:jc w:val="center"/>
            </w:pPr>
            <w:r/>
            <w:r>
              <w:rPr>
                <w:b w:val="0"/>
                <w:sz w:val="16"/>
              </w:rPr>
              <w:t>252</w:t>
            </w:r>
          </w:p>
        </w:tc>
        <w:tc>
          <w:tcPr>
            <w:tcW w:type="dxa" w:w="1040"/>
            <w:shd w:val="clear" w:color="auto" w:fill="ffffff"/>
          </w:tcPr>
          <w:p>
            <w:pPr>
              <w:jc w:val="center"/>
            </w:pPr>
            <w:r/>
            <w:r>
              <w:rPr>
                <w:b w:val="0"/>
                <w:sz w:val="16"/>
              </w:rPr>
              <w:t>26.4</w:t>
            </w:r>
          </w:p>
        </w:tc>
        <w:tc>
          <w:tcPr>
            <w:tcW w:type="dxa" w:w="1040"/>
            <w:shd w:val="clear" w:color="auto" w:fill="ffffff"/>
          </w:tcPr>
          <w:p>
            <w:pPr>
              <w:jc w:val="center"/>
            </w:pPr>
            <w:r/>
            <w:r>
              <w:rPr>
                <w:b w:val="0"/>
                <w:sz w:val="16"/>
              </w:rPr>
              <w:t>4.26</w:t>
            </w:r>
          </w:p>
        </w:tc>
        <w:tc>
          <w:tcPr>
            <w:tcW w:type="dxa" w:w="1040"/>
            <w:shd w:val="clear" w:color="auto" w:fill="ffffff"/>
          </w:tcPr>
          <w:p>
            <w:pPr>
              <w:jc w:val="center"/>
            </w:pPr>
            <w:r/>
            <w:r>
              <w:rPr>
                <w:b w:val="0"/>
                <w:sz w:val="16"/>
              </w:rPr>
              <w:t>5.82</w:t>
            </w:r>
          </w:p>
        </w:tc>
        <w:tc>
          <w:tcPr>
            <w:tcW w:type="dxa" w:w="1040"/>
            <w:shd w:val="clear" w:color="auto" w:fill="ffffff"/>
          </w:tcPr>
          <w:p>
            <w:pPr>
              <w:jc w:val="center"/>
            </w:pPr>
            <w:r/>
            <w:r>
              <w:rPr>
                <w:b w:val="0"/>
                <w:sz w:val="16"/>
              </w:rPr>
              <w:t>18.6</w:t>
            </w:r>
          </w:p>
        </w:tc>
        <w:tc>
          <w:tcPr>
            <w:tcW w:type="dxa" w:w="1040"/>
            <w:shd w:val="clear" w:color="auto" w:fill="ffffff"/>
          </w:tcPr>
          <w:p>
            <w:pPr>
              <w:jc w:val="center"/>
            </w:pPr>
            <w:r/>
            <w:r>
              <w:rPr>
                <w:b w:val="0"/>
                <w:sz w:val="16"/>
              </w:rPr>
              <w:t>37.7</w:t>
            </w:r>
          </w:p>
        </w:tc>
        <w:tc>
          <w:tcPr>
            <w:tcW w:type="dxa" w:w="1040"/>
            <w:shd w:val="clear" w:color="auto" w:fill="ffffff"/>
          </w:tcPr>
          <w:p>
            <w:pPr>
              <w:jc w:val="center"/>
            </w:pPr>
            <w:r/>
            <w:r>
              <w:rPr>
                <w:b w:val="0"/>
                <w:sz w:val="16"/>
              </w:rPr>
              <w:t>4.2 %</w:t>
            </w:r>
          </w:p>
        </w:tc>
      </w:tr>
    </w:tbl>
    <w:p/>
    <w:p>
      <w:pPr>
        <w:pStyle w:val="Heading2"/>
      </w:pPr>
      <w:r>
        <w:t>Cross-Scenario Comparison</w:t>
      </w:r>
    </w:p>
    <w:p>
      <w:pPr>
        <w:jc w:val="center"/>
      </w:pPr>
      <w:r>
        <w:drawing>
          <wp:inline xmlns:a="http://schemas.openxmlformats.org/drawingml/2006/main" xmlns:pic="http://schemas.openxmlformats.org/drawingml/2006/picture">
            <wp:extent cx="5669280" cy="181341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1813416"/>
                    </a:xfrm>
                    <a:prstGeom prst="rect"/>
                  </pic:spPr>
                </pic:pic>
              </a:graphicData>
            </a:graphic>
          </wp:inline>
        </w:drawing>
      </w:r>
    </w:p>
    <w:p>
      <w:r>
        <w:br w:type="page"/>
      </w:r>
    </w:p>
    <w:p>
      <w:pPr>
        <w:pStyle w:val="Heading1"/>
      </w:pPr>
      <w:r>
        <w:rPr>
          <w:color w:val="1A365D"/>
        </w:rPr>
        <w:t>Methodology</w:t>
      </w:r>
    </w:p>
    <w:p>
      <w:pPr>
        <w:spacing w:after="120"/>
      </w:pPr>
      <w:r>
        <w:rPr>
          <w:b/>
          <w:sz w:val="18"/>
        </w:rPr>
        <w:t>Volatility model.</w:t>
      </w:r>
      <w:r>
        <w:rPr>
          <w:sz w:val="18"/>
        </w:rPr>
        <w:t xml:space="preserve"> GJR-GARCH(1,1) with Student-t innovations is fitted on each scenario's calibration window using maximum likelihood (arch library, Python). The variance equation is σ²ₜ = ω + (α + γ·𝟙_{εₜ₋₁&lt;0})·ε²ₜ₋₁ + β·σ²ₜ₋₁, where γ &gt; 0 captures the leverage effect (negative shocks raise future vol more than positive shocks of equal magnitude). Degrees of freedom ν controls tail heaviness; fitted values for Brent typically fall between 4.5 and 7.</w:t>
      </w:r>
    </w:p>
    <w:p>
      <w:pPr>
        <w:spacing w:after="120"/>
      </w:pPr>
      <w:r>
        <w:rPr>
          <w:b/>
          <w:sz w:val="18"/>
        </w:rPr>
        <w:t>Parameter overrides.</w:t>
      </w:r>
      <w:r>
        <w:rPr>
          <w:sz w:val="18"/>
        </w:rPr>
        <w:t xml:space="preserve"> Each scenario may modify: (a) calibration window — which historical period drives fitted parameters; (b) initial variance σ²₀ — the starting state of the variance recursion; (c) γ multiplier — amplifies or dampens the leverage effect; (d) ν override — stresses tail heaviness independently of the fit; (e) mean drift shock — adds a constant to μ to impose a directional expectation.</w:t>
      </w:r>
    </w:p>
    <w:p>
      <w:pPr>
        <w:spacing w:after="120"/>
      </w:pPr>
      <w:r>
        <w:rPr>
          <w:b/>
          <w:sz w:val="18"/>
        </w:rPr>
        <w:t>Monte Carlo simulation.</w:t>
      </w:r>
      <w:r>
        <w:rPr>
          <w:sz w:val="18"/>
        </w:rPr>
        <w:t xml:space="preserve"> Each scenario generates 1,000 independent paths from the (overridden) fitted parameters. Per-path seeding via a master RNG ensures full reproducibility. A 500-step burn-in is used when starting from unconditional variance; burn-in is suppressed when initial_vol is explicitly set.</w:t>
      </w:r>
    </w:p>
    <w:p>
      <w:pPr>
        <w:spacing w:after="120"/>
      </w:pPr>
      <w:r>
        <w:rPr>
          <w:b/>
          <w:sz w:val="18"/>
        </w:rPr>
        <w:t>Risk metrics.</w:t>
      </w:r>
      <w:r>
        <w:rPr>
          <w:sz w:val="18"/>
        </w:rPr>
        <w:t xml:space="preserve"> Daily VaR/ES are computed from the pooled distribution of all daily returns across all paths. Cumulative metrics (drawdown, total return percentiles) are computed per path and then aggregated. Drawdown is defined as the maximum peak-to-trough decline in the price index over the horizon.</w:t>
      </w:r>
    </w:p>
    <w:p>
      <w:r>
        <w:br w:type="page"/>
      </w:r>
    </w:p>
    <w:p>
      <w:pPr>
        <w:pStyle w:val="Heading1"/>
      </w:pPr>
      <w:r>
        <w:rPr>
          <w:color w:val="1A365D"/>
        </w:rPr>
        <w:t>Scenario Detail</w:t>
      </w:r>
    </w:p>
    <w:p>
      <w:r>
        <w:rPr>
          <w:sz w:val="18"/>
        </w:rPr>
        <w:t>Each scenario section shows the economic context, model assumptions, risk metrics, and a fan chart of simulated price paths (start = 100).</w:t>
      </w:r>
    </w:p>
    <w:p/>
    <w:p>
      <w:pPr>
        <w:pStyle w:val="Heading2"/>
      </w:pPr>
      <w:r>
        <w:rPr>
          <w:b/>
          <w:color w:val="1A365D"/>
          <w:sz w:val="26"/>
        </w:rPr>
        <w:t>S01  |  Baseline — Full History (2015–2025)</w:t>
      </w:r>
    </w:p>
    <w:p>
      <w:pPr>
        <w:spacing w:after="80"/>
      </w:pPr>
      <w:r>
        <w:rPr>
          <w:i/>
          <w:color w:val="718096"/>
          <w:sz w:val="16"/>
        </w:rPr>
        <w:t>Geography: Global    |    Analogy: No specific shock — long-run unconditional distribution</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Calibrated on the full ten-year Brent crude history spanning calm periods (2016–2019), the COVID-19 demand collapse (2020), and the Russia-Ukraine supply shock (2022). This is the unconditional benchmark representing 'average' oil market conditions across a full economic cycle and serves as the reference against which all stress scenarios are interpreted. Persistence of 0.978 confirms near-IGARCH behaviour — volatility shocks decay slowly, meaning a bad day echoes for weeks.</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1A365D"/>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2015-01-01 – present</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252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Unconditional</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Fitted</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None</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5.19</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0.8840</w:t>
                  </w:r>
                </w:p>
              </w:tc>
            </w:tr>
          </w:tbl>
          <w:p/>
        </w:tc>
        <w:tc>
          <w:tcPr>
            <w:tcW w:type="dxa" w:w="4464"/>
          </w:tcPr>
          <w:p>
            <w:r>
              <w:rPr>
                <w:b/>
                <w:color w:val="1A365D"/>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1a365d"/>
                </w:tcPr>
                <w:p>
                  <w:pPr>
                    <w:jc w:val="left"/>
                  </w:pPr>
                  <w:r/>
                  <w:r>
                    <w:rPr>
                      <w:b/>
                      <w:color w:val="FFFFFF"/>
                      <w:sz w:val="16"/>
                    </w:rPr>
                    <w:t>Metric</w:t>
                  </w:r>
                </w:p>
              </w:tc>
              <w:tc>
                <w:tcPr>
                  <w:tcW w:type="dxa" w:w="2232"/>
                  <w:shd w:val="clear" w:color="auto" w:fill="1a365d"/>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39.4 %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3.51 %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6.58 %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9.50 %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-46.0 %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-14.6 %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32.6 %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27.6 %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52.2 %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67.7 %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14.4 %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4.9 %</w:t>
                  </w:r>
                </w:p>
              </w:tc>
            </w:tr>
          </w:tbl>
          <w:p/>
        </w:tc>
      </w:tr>
    </w:tbl>
    <w:p/>
    <w:p>
      <w:pPr>
        <w:jc w:val="center"/>
      </w:pPr>
      <w:r>
        <w:drawing>
          <wp:inline xmlns:a="http://schemas.openxmlformats.org/drawingml/2006/main" xmlns:pic="http://schemas.openxmlformats.org/drawingml/2006/picture">
            <wp:extent cx="5486400" cy="339535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395357"/>
                    </a:xfrm>
                    <a:prstGeom prst="rect"/>
                  </pic:spPr>
                </pic:pic>
              </a:graphicData>
            </a:graphic>
          </wp:inline>
        </w:drawing>
      </w:r>
    </w:p>
    <w:p>
      <w:r>
        <w:br w:type="page"/>
      </w:r>
    </w:p>
    <w:p>
      <w:pPr>
        <w:pStyle w:val="Heading2"/>
      </w:pPr>
      <w:r>
        <w:rPr>
          <w:b/>
          <w:color w:val="C53030"/>
          <w:sz w:val="26"/>
        </w:rPr>
        <w:t>S02  |  COVID-19 Demand Collapse (2020)</w:t>
      </w:r>
    </w:p>
    <w:p>
      <w:pPr>
        <w:spacing w:after="80"/>
      </w:pPr>
      <w:r>
        <w:rPr>
          <w:i/>
          <w:color w:val="718096"/>
          <w:sz w:val="16"/>
        </w:rPr>
        <w:t>Geography: Global    |    Analogy: March–April 2020: Brent lost ~70 %, WTI turned negative</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Replicates the pandemic oil price collapse of March–April 2020 when global demand fell ~25 mb/d and Brent dropped from $57 to $18 in six weeks. Model fitted on the 18-month pre/during crash window (Jun 2019 – Dec 2020). Starting volatility of 8 % daily mirrors realised peak conditions during the storage overhang. Structural negative drift of −8 bps/day approximates the demand destruction pace. 3-month horizon captures the acute shock phase before OPEC+ emergency cut took effect.</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C53030"/>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2019-06-01 – 2020-12-31</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63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8.0 % / day</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Fitted</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-0.08 % / day</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3.79</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0.9000</w:t>
                  </w:r>
                </w:p>
              </w:tc>
            </w:tr>
          </w:tbl>
          <w:p/>
        </w:tc>
        <w:tc>
          <w:tcPr>
            <w:tcW w:type="dxa" w:w="4464"/>
          </w:tcPr>
          <w:p>
            <w:r>
              <w:rPr>
                <w:b/>
                <w:color w:val="C53030"/>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c53030"/>
                </w:tcPr>
                <w:p>
                  <w:pPr>
                    <w:jc w:val="left"/>
                  </w:pPr>
                  <w:r/>
                  <w:r>
                    <w:rPr>
                      <w:b/>
                      <w:color w:val="FFFFFF"/>
                      <w:sz w:val="16"/>
                    </w:rPr>
                    <w:t>Metric</w:t>
                  </w:r>
                </w:p>
              </w:tc>
              <w:tc>
                <w:tcPr>
                  <w:tcW w:type="dxa" w:w="2232"/>
                  <w:shd w:val="clear" w:color="auto" w:fill="c53030"/>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100.0 %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8.04 %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16.96 %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27.78 %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-70.9 %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-40.6 %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6.2 %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31.7 %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66.4 %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71.0 %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25.7 %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17.1 %</w:t>
                  </w:r>
                </w:p>
              </w:tc>
            </w:tr>
          </w:tbl>
          <w:p/>
        </w:tc>
      </w:tr>
    </w:tbl>
    <w:p/>
    <w:p>
      <w:pPr>
        <w:jc w:val="center"/>
      </w:pPr>
      <w:r>
        <w:drawing>
          <wp:inline xmlns:a="http://schemas.openxmlformats.org/drawingml/2006/main" xmlns:pic="http://schemas.openxmlformats.org/drawingml/2006/picture">
            <wp:extent cx="5486400" cy="339535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395357"/>
                    </a:xfrm>
                    <a:prstGeom prst="rect"/>
                  </pic:spPr>
                </pic:pic>
              </a:graphicData>
            </a:graphic>
          </wp:inline>
        </w:drawing>
      </w:r>
    </w:p>
    <w:p>
      <w:r>
        <w:br w:type="page"/>
      </w:r>
    </w:p>
    <w:p>
      <w:pPr>
        <w:pStyle w:val="Heading2"/>
      </w:pPr>
      <w:r>
        <w:rPr>
          <w:b/>
          <w:color w:val="C05621"/>
          <w:sz w:val="26"/>
        </w:rPr>
        <w:t>S03  |  Russia-Ukraine Supply Shock (2022)</w:t>
      </w:r>
    </w:p>
    <w:p>
      <w:pPr>
        <w:spacing w:after="80"/>
      </w:pPr>
      <w:r>
        <w:rPr>
          <w:i/>
          <w:color w:val="718096"/>
          <w:sz w:val="16"/>
        </w:rPr>
        <w:t>Geography: Europe / FSU    |    Analogy: Feb 2022: Brent spiked $80 → $130 then reversed sharply</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Calibrates on 2021–2023, dominated by Russia's invasion of Ukraine (Feb 2022) which removed ~2.5 mb/d of seaborne Russian crude from Western markets. Brent spiked from $80 to $130 within weeks before reversing as alternative supply from the US, Gulf, and re-routing through Indian/Chinese refiners absorbed the shock. Starting volatility 5 % daily reflects the early-conflict regime. 6-month horizon covers supply displacement and partial re-routing.</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C05621"/>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2021-01-01 – 2023-06-30</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126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5.0 % / day</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Fitted</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None</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6.25</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0.8609</w:t>
                  </w:r>
                </w:p>
              </w:tc>
            </w:tr>
          </w:tbl>
          <w:p/>
        </w:tc>
        <w:tc>
          <w:tcPr>
            <w:tcW w:type="dxa" w:w="4464"/>
          </w:tcPr>
          <w:p>
            <w:r>
              <w:rPr>
                <w:b/>
                <w:color w:val="C05621"/>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c05621"/>
                </w:tcPr>
                <w:p>
                  <w:pPr>
                    <w:jc w:val="left"/>
                  </w:pPr>
                  <w:r/>
                  <w:r>
                    <w:rPr>
                      <w:b/>
                      <w:color w:val="FFFFFF"/>
                      <w:sz w:val="16"/>
                    </w:rPr>
                    <w:t>Metric</w:t>
                  </w:r>
                </w:p>
              </w:tc>
              <w:tc>
                <w:tcPr>
                  <w:tcW w:type="dxa" w:w="2232"/>
                  <w:shd w:val="clear" w:color="auto" w:fill="c05621"/>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49.7 %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4.49 %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8.31 %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11.59 %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-46.3 %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-11.8 %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29.1 %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24.4 %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46.0 %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56.8 %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8.8 %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3.2 %</w:t>
                  </w:r>
                </w:p>
              </w:tc>
            </w:tr>
          </w:tbl>
          <w:p/>
        </w:tc>
      </w:tr>
    </w:tbl>
    <w:p/>
    <w:p>
      <w:pPr>
        <w:jc w:val="center"/>
      </w:pPr>
      <w:r>
        <w:drawing>
          <wp:inline xmlns:a="http://schemas.openxmlformats.org/drawingml/2006/main" xmlns:pic="http://schemas.openxmlformats.org/drawingml/2006/picture">
            <wp:extent cx="5486400" cy="339535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95357"/>
                    </a:xfrm>
                    <a:prstGeom prst="rect"/>
                  </pic:spPr>
                </pic:pic>
              </a:graphicData>
            </a:graphic>
          </wp:inline>
        </w:drawing>
      </w:r>
    </w:p>
    <w:p>
      <w:r>
        <w:br w:type="page"/>
      </w:r>
    </w:p>
    <w:p>
      <w:pPr>
        <w:pStyle w:val="Heading2"/>
      </w:pPr>
      <w:r>
        <w:rPr>
          <w:b/>
          <w:color w:val="276749"/>
          <w:sz w:val="26"/>
        </w:rPr>
        <w:t>S04  |  OPEC+ Surprise Production Cut</w:t>
      </w:r>
    </w:p>
    <w:p>
      <w:pPr>
        <w:spacing w:after="80"/>
      </w:pPr>
      <w:r>
        <w:rPr>
          <w:i/>
          <w:color w:val="718096"/>
          <w:sz w:val="16"/>
        </w:rPr>
        <w:t>Geography: Middle East / OPEC+    |    Analogy: Apr 2023 Easter Sunday surprise: 1.16 mb/d cut, no prior signal</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Models a repeat of the April 2023 OPEC+ surprise cut announced on a Sunday with no prior market signal, triggering an immediate $5 gap-up open. The leverage parameter (γ) is doubled: in a tight-supply environment bad news amplifies volatility far more than equivalent positive surprises. Starting vol of 3.5 % captures moderate pre-cut stress. A small positive drift (+5 bps/day) reflects the expected upward price reset as the market prices in the new supply floor over a 3-month window.</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276749"/>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2015-01-01 – present</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63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3.5 % / day</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2.0×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Fitted</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+0.05 % / day</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5.19</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0.8840</w:t>
                  </w:r>
                </w:p>
              </w:tc>
            </w:tr>
          </w:tbl>
          <w:p/>
        </w:tc>
        <w:tc>
          <w:tcPr>
            <w:tcW w:type="dxa" w:w="4464"/>
          </w:tcPr>
          <w:p>
            <w:r>
              <w:rPr>
                <w:b/>
                <w:color w:val="276749"/>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276749"/>
                </w:tcPr>
                <w:p>
                  <w:pPr>
                    <w:jc w:val="left"/>
                  </w:pPr>
                  <w:r/>
                  <w:r>
                    <w:rPr>
                      <w:b/>
                      <w:color w:val="FFFFFF"/>
                      <w:sz w:val="16"/>
                    </w:rPr>
                    <w:t>Metric</w:t>
                  </w:r>
                </w:p>
              </w:tc>
              <w:tc>
                <w:tcPr>
                  <w:tcW w:type="dxa" w:w="2232"/>
                  <w:shd w:val="clear" w:color="auto" w:fill="276749"/>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58.1 %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5.02 %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9.82 %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14.86 %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-49.6 %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-20.2 %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11.4 %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20.4 %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44.2 %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39.5 %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6.8 %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4.5 %</w:t>
                  </w:r>
                </w:p>
              </w:tc>
            </w:tr>
          </w:tbl>
          <w:p/>
        </w:tc>
      </w:tr>
    </w:tbl>
    <w:p/>
    <w:p>
      <w:pPr>
        <w:jc w:val="center"/>
      </w:pPr>
      <w:r>
        <w:drawing>
          <wp:inline xmlns:a="http://schemas.openxmlformats.org/drawingml/2006/main" xmlns:pic="http://schemas.openxmlformats.org/drawingml/2006/picture">
            <wp:extent cx="5486400" cy="339535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395357"/>
                    </a:xfrm>
                    <a:prstGeom prst="rect"/>
                  </pic:spPr>
                </pic:pic>
              </a:graphicData>
            </a:graphic>
          </wp:inline>
        </w:drawing>
      </w:r>
    </w:p>
    <w:p>
      <w:r>
        <w:br w:type="page"/>
      </w:r>
    </w:p>
    <w:p>
      <w:pPr>
        <w:pStyle w:val="Heading2"/>
      </w:pPr>
      <w:r>
        <w:rPr>
          <w:b/>
          <w:color w:val="553C9A"/>
          <w:sz w:val="26"/>
        </w:rPr>
        <w:t>S05  |  US / China Recession — Global Demand Destruction</w:t>
      </w:r>
    </w:p>
    <w:p>
      <w:pPr>
        <w:spacing w:after="80"/>
      </w:pPr>
      <w:r>
        <w:rPr>
          <w:i/>
          <w:color w:val="718096"/>
          <w:sz w:val="16"/>
        </w:rPr>
        <w:t>Geography: Global    |    Analogy: 2008–09 GFC playbook at 2024 leverage levels</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A synchronised US-China recession reducing global oil demand by 3–4 mb/d. Calibrated on the full Brent history but with fatter tails (ν = 4.0) to model tail-risk amplification from a systemic credit event. Structural negative drift of −5 bps/day (~−12.5 % annualised) reflects sustained demand weakness over a full year, consistent with GFC dynamics where demand destruction persisted 12–18 months before stabilising. Starting vol of 4 % reflects the early-recession risk-off environment.</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553C9A"/>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2015-01-01 – present</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252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4.0 % / day</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4.0</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-0.05 % / day</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5.19</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0.8840</w:t>
                  </w:r>
                </w:p>
              </w:tc>
            </w:tr>
          </w:tbl>
          <w:p/>
        </w:tc>
        <w:tc>
          <w:tcPr>
            <w:tcW w:type="dxa" w:w="4464"/>
          </w:tcPr>
          <w:p>
            <w:r>
              <w:rPr>
                <w:b/>
                <w:color w:val="553C9A"/>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553c9a"/>
                </w:tcPr>
                <w:p>
                  <w:pPr>
                    <w:jc w:val="left"/>
                  </w:pPr>
                  <w:r/>
                  <w:r>
                    <w:rPr>
                      <w:b/>
                      <w:color w:val="FFFFFF"/>
                      <w:sz w:val="16"/>
                    </w:rPr>
                    <w:t>Metric</w:t>
                  </w:r>
                </w:p>
              </w:tc>
              <w:tc>
                <w:tcPr>
                  <w:tcW w:type="dxa" w:w="2232"/>
                  <w:shd w:val="clear" w:color="auto" w:fill="553c9a"/>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44.9 %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3.73 %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7.62 %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12.00 %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-60.7 %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-30.1 %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14.8 %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32.3 %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58.1 %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79.7 %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26.3 %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10.1 %</w:t>
                  </w:r>
                </w:p>
              </w:tc>
            </w:tr>
          </w:tbl>
          <w:p/>
        </w:tc>
      </w:tr>
    </w:tbl>
    <w:p/>
    <w:p>
      <w:pPr>
        <w:jc w:val="center"/>
      </w:pPr>
      <w:r>
        <w:drawing>
          <wp:inline xmlns:a="http://schemas.openxmlformats.org/drawingml/2006/main" xmlns:pic="http://schemas.openxmlformats.org/drawingml/2006/picture">
            <wp:extent cx="5486400" cy="339535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395357"/>
                    </a:xfrm>
                    <a:prstGeom prst="rect"/>
                  </pic:spPr>
                </pic:pic>
              </a:graphicData>
            </a:graphic>
          </wp:inline>
        </w:drawing>
      </w:r>
    </w:p>
    <w:p>
      <w:r>
        <w:br w:type="page"/>
      </w:r>
    </w:p>
    <w:p>
      <w:pPr>
        <w:pStyle w:val="Heading2"/>
      </w:pPr>
      <w:r>
        <w:rPr>
          <w:b/>
          <w:color w:val="234E52"/>
          <w:sz w:val="26"/>
        </w:rPr>
        <w:t>S06  |  Strait of Hormuz Disruption</w:t>
      </w:r>
    </w:p>
    <w:p>
      <w:pPr>
        <w:spacing w:after="80"/>
      </w:pPr>
      <w:r>
        <w:rPr>
          <w:i/>
          <w:color w:val="718096"/>
          <w:sz w:val="16"/>
        </w:rPr>
        <w:t>Geography: Middle East / Persian Gulf    |    Analogy: Threatened / partial closure — ~21 mb/d at risk</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Simulates a partial or threatened closure of the Strait of Hormuz through which ~21 mb/d (≈20 % of global seaborne oil) transits. Calibrated on the high-volatility 2022–2023 window. The leverage parameter is scaled 1.5× because downside panic (closure feared) amplifies volatility far more than equivalent upside relief (diplomatic resolution). Initial vol of 6 % captures the acute shock onset. 40-day horizon approximates the window before diplomatic resolution or alternative routing (Cape of Good Hope bypass, strategic reserves release) typically activates.</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234E52"/>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2022-01-01 – 2023-12-31</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42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6.0 % / day</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1.5×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Fitted</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None</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10.10</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0.9031</w:t>
                  </w:r>
                </w:p>
              </w:tc>
            </w:tr>
          </w:tbl>
          <w:p/>
        </w:tc>
        <w:tc>
          <w:tcPr>
            <w:tcW w:type="dxa" w:w="4464"/>
          </w:tcPr>
          <w:p>
            <w:r>
              <w:rPr>
                <w:b/>
                <w:color w:val="234E52"/>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234e52"/>
                </w:tcPr>
                <w:p>
                  <w:pPr>
                    <w:jc w:val="left"/>
                  </w:pPr>
                  <w:r/>
                  <w:r>
                    <w:rPr>
                      <w:b/>
                      <w:color w:val="FFFFFF"/>
                      <w:sz w:val="16"/>
                    </w:rPr>
                    <w:t>Metric</w:t>
                  </w:r>
                </w:p>
              </w:tc>
              <w:tc>
                <w:tcPr>
                  <w:tcW w:type="dxa" w:w="2232"/>
                  <w:shd w:val="clear" w:color="auto" w:fill="234e52"/>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79.1 %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7.85 %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12.83 %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16.38 %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-50.8 %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-29.2 %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1.7 %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25.8 %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48.0 %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63.3 %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11.6 %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9.6 %</w:t>
                  </w:r>
                </w:p>
              </w:tc>
            </w:tr>
          </w:tbl>
          <w:p/>
        </w:tc>
      </w:tr>
    </w:tbl>
    <w:p/>
    <w:p>
      <w:pPr>
        <w:jc w:val="center"/>
      </w:pPr>
      <w:r>
        <w:drawing>
          <wp:inline xmlns:a="http://schemas.openxmlformats.org/drawingml/2006/main" xmlns:pic="http://schemas.openxmlformats.org/drawingml/2006/picture">
            <wp:extent cx="5486400" cy="33953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395357"/>
                    </a:xfrm>
                    <a:prstGeom prst="rect"/>
                  </pic:spPr>
                </pic:pic>
              </a:graphicData>
            </a:graphic>
          </wp:inline>
        </w:drawing>
      </w:r>
    </w:p>
    <w:p>
      <w:r>
        <w:br w:type="page"/>
      </w:r>
    </w:p>
    <w:p>
      <w:pPr>
        <w:pStyle w:val="Heading2"/>
      </w:pPr>
      <w:r>
        <w:rPr>
          <w:b/>
          <w:color w:val="2B6CB0"/>
          <w:sz w:val="26"/>
        </w:rPr>
        <w:t>S07  |  Energy Transition — Structural Demand Decline</w:t>
      </w:r>
    </w:p>
    <w:p>
      <w:pPr>
        <w:spacing w:after="80"/>
      </w:pPr>
      <w:r>
        <w:rPr>
          <w:i/>
          <w:color w:val="718096"/>
          <w:sz w:val="16"/>
        </w:rPr>
        <w:t>Geography: Global (Long-term)    |    Analogy: IEA Net Zero 2050 pathway — oil demand peaks before 2030</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A 2-year scenario modelling accelerated EV adoption, carbon border taxes, and industrial electrification structurally eroding oil demand. ν raised to 8 (lighter innovation tails — fewer extreme daily spikes as the market is more orderly in a managed-decline environment where forward curves provide guidance). Negative drift of −8 bps/day (≈−18 % annualised) reflects secular demand destruction compounding over a 2-year horizon. Lower idiosyncratic vol but sustained and ultimately predictable price erosion.</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2B6CB0"/>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2015-01-01 – present</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504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Unconditional</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8.0</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-0.08 % / day</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5.19</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0.8840</w:t>
                  </w:r>
                </w:p>
              </w:tc>
            </w:tr>
          </w:tbl>
          <w:p/>
        </w:tc>
        <w:tc>
          <w:tcPr>
            <w:tcW w:type="dxa" w:w="4464"/>
          </w:tcPr>
          <w:p>
            <w:r>
              <w:rPr>
                <w:b/>
                <w:color w:val="2B6CB0"/>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2b6cb0"/>
                </w:tcPr>
                <w:p>
                  <w:pPr>
                    <w:jc w:val="left"/>
                  </w:pPr>
                  <w:r/>
                  <w:r>
                    <w:rPr>
                      <w:b/>
                      <w:color w:val="FFFFFF"/>
                      <w:sz w:val="16"/>
                    </w:rPr>
                    <w:t>Metric</w:t>
                  </w:r>
                </w:p>
              </w:tc>
              <w:tc>
                <w:tcPr>
                  <w:tcW w:type="dxa" w:w="2232"/>
                  <w:shd w:val="clear" w:color="auto" w:fill="2b6cb0"/>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39.9 %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3.82 %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6.65 %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9.10 %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-70.3 %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-42.1 %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15.2 %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43.5 %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69.7 %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97.2 %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53.7 %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17.7 %</w:t>
                  </w:r>
                </w:p>
              </w:tc>
            </w:tr>
          </w:tbl>
          <w:p/>
        </w:tc>
      </w:tr>
    </w:tbl>
    <w:p/>
    <w:p>
      <w:pPr>
        <w:jc w:val="center"/>
      </w:pPr>
      <w:r>
        <w:drawing>
          <wp:inline xmlns:a="http://schemas.openxmlformats.org/drawingml/2006/main" xmlns:pic="http://schemas.openxmlformats.org/drawingml/2006/picture">
            <wp:extent cx="5486400" cy="339535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395357"/>
                    </a:xfrm>
                    <a:prstGeom prst="rect"/>
                  </pic:spPr>
                </pic:pic>
              </a:graphicData>
            </a:graphic>
          </wp:inline>
        </w:drawing>
      </w:r>
    </w:p>
    <w:p>
      <w:r>
        <w:br w:type="page"/>
      </w:r>
    </w:p>
    <w:p>
      <w:pPr>
        <w:pStyle w:val="Heading2"/>
      </w:pPr>
      <w:r>
        <w:rPr>
          <w:b/>
          <w:color w:val="718096"/>
          <w:sz w:val="26"/>
        </w:rPr>
        <w:t>S08  |  Fed Hawkish Shock — Strong Dollar</w:t>
      </w:r>
    </w:p>
    <w:p>
      <w:pPr>
        <w:spacing w:after="80"/>
      </w:pPr>
      <w:r>
        <w:rPr>
          <w:i/>
          <w:color w:val="718096"/>
          <w:sz w:val="16"/>
        </w:rPr>
        <w:t>Geography: US / Global    |    Analogy: 2022 Fed tightening cycle; DXY +15 % in 9 months</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Oil is priced in USD; a strong-dollar regime from surprise Fed rate hikes reduces Brent's affordability in non-USD terms and weakens emerging-market demand. Calibrated on 2022 — the year of the most aggressive Fed tightening in 40 years (425 bps in 12 months). Moderate negative drift of −3 bps/day captures the FX-driven demand headwind. Starting vol of 3 % reflects measured market stress at the onset of a new hawkish cycle rather than a full panic episode. 6-month horizon covers the initial tightening impact.</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718096"/>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2022-01-01 – 2022-12-31</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126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3.0 % / day</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Fitted</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-0.03 % / day</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13.37</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0.8886</w:t>
                  </w:r>
                </w:p>
              </w:tc>
            </w:tr>
          </w:tbl>
          <w:p/>
        </w:tc>
        <w:tc>
          <w:tcPr>
            <w:tcW w:type="dxa" w:w="4464"/>
          </w:tcPr>
          <w:p>
            <w:r>
              <w:rPr>
                <w:b/>
                <w:color w:val="718096"/>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718096"/>
                </w:tcPr>
                <w:p>
                  <w:pPr>
                    <w:jc w:val="left"/>
                  </w:pPr>
                  <w:r/>
                  <w:r>
                    <w:rPr>
                      <w:b/>
                      <w:color w:val="FFFFFF"/>
                      <w:sz w:val="16"/>
                    </w:rPr>
                    <w:t>Metric</w:t>
                  </w:r>
                </w:p>
              </w:tc>
              <w:tc>
                <w:tcPr>
                  <w:tcW w:type="dxa" w:w="2232"/>
                  <w:shd w:val="clear" w:color="auto" w:fill="718096"/>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56.4 %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5.32 %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9.05 %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12.34 %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-43.4 %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-21.5 %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17.0 %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29.3 %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48.6 %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80.9 %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13.8 %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5.2 %</w:t>
                  </w:r>
                </w:p>
              </w:tc>
            </w:tr>
          </w:tbl>
          <w:p/>
        </w:tc>
      </w:tr>
    </w:tbl>
    <w:p/>
    <w:p>
      <w:pPr>
        <w:jc w:val="center"/>
      </w:pPr>
      <w:r>
        <w:drawing>
          <wp:inline xmlns:a="http://schemas.openxmlformats.org/drawingml/2006/main" xmlns:pic="http://schemas.openxmlformats.org/drawingml/2006/picture">
            <wp:extent cx="5486400" cy="339535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395357"/>
                    </a:xfrm>
                    <a:prstGeom prst="rect"/>
                  </pic:spPr>
                </pic:pic>
              </a:graphicData>
            </a:graphic>
          </wp:inline>
        </w:drawing>
      </w:r>
    </w:p>
    <w:p>
      <w:r>
        <w:br w:type="page"/>
      </w:r>
    </w:p>
    <w:p>
      <w:pPr>
        <w:pStyle w:val="Heading2"/>
      </w:pPr>
      <w:r>
        <w:rPr>
          <w:b/>
          <w:color w:val="C53030"/>
          <w:sz w:val="26"/>
        </w:rPr>
        <w:t>S09  |  Stagflation — Supply Shock + Simultaneous Recession</w:t>
      </w:r>
    </w:p>
    <w:p>
      <w:pPr>
        <w:spacing w:after="80"/>
      </w:pPr>
      <w:r>
        <w:rPr>
          <w:i/>
          <w:color w:val="718096"/>
          <w:sz w:val="16"/>
        </w:rPr>
        <w:t>Geography: Global    |    Analogy: 1973–74 oil embargo + 2022 H2 combined shock dynamics</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The worst-case combination: a supply disruption keeps oil structurally elevated while a simultaneous recession weakens end-user purchasing power. Extreme tails (ν = 3.5 — near-Cauchy behaviour, matching Basel III internal model stress assumptions) model the tail-on-tail interaction when two independent crises materialise concurrently. Modest negative drift of −3 bps/day reflects net demand weakness eventually dominating supply support in the medium term. Starting vol of 5 % sets conditions in a pre-crisis elevated state. Most closely mirrors 1973–74 or late-2022 stagflationary oil market dynamics.</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C53030"/>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2015-01-01 – present</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252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5.0 % / day</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3.5</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-0.03 % / day</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5.19</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0.8840</w:t>
                  </w:r>
                </w:p>
              </w:tc>
            </w:tr>
          </w:tbl>
          <w:p/>
        </w:tc>
        <w:tc>
          <w:tcPr>
            <w:tcW w:type="dxa" w:w="4464"/>
          </w:tcPr>
          <w:p>
            <w:r>
              <w:rPr>
                <w:b/>
                <w:color w:val="C53030"/>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c53030"/>
                </w:tcPr>
                <w:p>
                  <w:pPr>
                    <w:jc w:val="left"/>
                  </w:pPr>
                  <w:r/>
                  <w:r>
                    <w:rPr>
                      <w:b/>
                      <w:color w:val="FFFFFF"/>
                      <w:sz w:val="16"/>
                    </w:rPr>
                    <w:t>Metric</w:t>
                  </w:r>
                </w:p>
              </w:tc>
              <w:tc>
                <w:tcPr>
                  <w:tcW w:type="dxa" w:w="2232"/>
                  <w:shd w:val="clear" w:color="auto" w:fill="c53030"/>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51.1 %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3.67 %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8.06 %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14.11 %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-70.4 %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-24.6 %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23.1 %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31.5 %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59.3 %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75.3 %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24.3 %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7.9 %</w:t>
                  </w:r>
                </w:p>
              </w:tc>
            </w:tr>
          </w:tbl>
          <w:p/>
        </w:tc>
      </w:tr>
    </w:tbl>
    <w:p/>
    <w:p>
      <w:pPr>
        <w:jc w:val="center"/>
      </w:pPr>
      <w:r>
        <w:drawing>
          <wp:inline xmlns:a="http://schemas.openxmlformats.org/drawingml/2006/main" xmlns:pic="http://schemas.openxmlformats.org/drawingml/2006/picture">
            <wp:extent cx="5486400" cy="339535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395357"/>
                    </a:xfrm>
                    <a:prstGeom prst="rect"/>
                  </pic:spPr>
                </pic:pic>
              </a:graphicData>
            </a:graphic>
          </wp:inline>
        </w:drawing>
      </w:r>
    </w:p>
    <w:p>
      <w:r>
        <w:br w:type="page"/>
      </w:r>
    </w:p>
    <w:p>
      <w:pPr>
        <w:pStyle w:val="Heading2"/>
      </w:pPr>
      <w:r>
        <w:rPr>
          <w:b/>
          <w:color w:val="276749"/>
          <w:sz w:val="26"/>
        </w:rPr>
        <w:t>S10  |  Benign Soft Landing — Pre-COVID Calm</w:t>
      </w:r>
    </w:p>
    <w:p>
      <w:pPr>
        <w:spacing w:after="80"/>
      </w:pPr>
      <w:r>
        <w:rPr>
          <w:i/>
          <w:color w:val="718096"/>
          <w:sz w:val="16"/>
        </w:rPr>
        <w:t>Geography: Global (Benign)    |    Analogy: 2016–2018: recovering demand, OPEC compliance, absent shocks</w:t>
      </w:r>
    </w:p>
    <w:tbl>
      <w:tblPr>
        <w:tblStyle w:val="TableGrid"/>
        <w:tblW w:type="auto" w:w="0"/>
        <w:tblLook w:firstColumn="1" w:firstRow="1" w:lastColumn="0" w:lastRow="0" w:noHBand="0" w:noVBand="1" w:val="04A0"/>
      </w:tblPr>
      <w:tblGrid>
        <w:gridCol w:w="9360"/>
      </w:tblGrid>
      <w:tr>
        <w:tc>
          <w:tcPr>
            <w:tcW w:type="dxa" w:w="9360"/>
            <w:shd w:val="clear" w:color="auto" w:fill="ebf4ff"/>
          </w:tcPr>
          <w:p>
            <w:pPr>
              <w:spacing w:after="0"/>
            </w:pPr>
            <w:r/>
            <w:r>
              <w:rPr>
                <w:sz w:val="16"/>
              </w:rPr>
              <w:t>A constructive baseline calibrated on 2016–2018 — a period of recovering demand post-2015 supply glut, gradual OPEC+ compliance, and absent geopolitical shocks. This scenario represents the lower bound on oil price risk: what Brent volatility looks like in an orderly macro environment with stable growth and no supply disruptions. Small positive drift (+2 bps/day) reflects gradual demand recovery. Used to stress-test model sensitivity to calibration-period choice and to provide the 'best-case' reference tail for risk budgeting.</w:t>
            </w:r>
          </w:p>
        </w:tc>
      </w:tr>
    </w:tbl>
    <w:p/>
    <w:tbl>
      <w:tblPr>
        <w:tblStyle w:val="TableGrid"/>
        <w:tblW w:type="auto" w:w="0"/>
        <w:tblLook w:firstColumn="1" w:firstRow="1" w:lastColumn="0" w:lastRow="0" w:noHBand="0" w:noVBand="1" w:val="04A0"/>
      </w:tblPr>
      <w:tblGrid>
        <w:gridCol w:w="4680"/>
        <w:gridCol w:w="4680"/>
      </w:tblGrid>
      <w:tr>
        <w:tc>
          <w:tcPr>
            <w:tcW w:type="dxa" w:w="4464"/>
          </w:tcPr>
          <w:p>
            <w:r>
              <w:rPr>
                <w:b/>
                <w:color w:val="276749"/>
                <w:sz w:val="18"/>
              </w:rPr>
              <w:t>Model Assumptions</w:t>
            </w:r>
          </w:p>
          <w:tbl>
            <w:tblPr>
              <w:tblStyle w:val="TableGrid"/>
              <w:tblW w:type="auto" w:w="0"/>
              <w:tblLook w:firstColumn="1" w:firstRow="1" w:lastColumn="0" w:lastRow="0" w:noHBand="0" w:noVBand="1" w:val="04A0"/>
            </w:tblPr>
            <w:tblGrid>
              <w:gridCol w:w="2232"/>
              <w:gridCol w:w="2232"/>
            </w:tblGrid>
            <w:tr>
              <w:tc>
                <w:tcPr>
                  <w:tcW w:type="dxa" w:w="2232"/>
                  <w:shd w:val="clear" w:color="auto" w:fill="f7fafc"/>
                </w:tcPr>
                <w:p>
                  <w:pPr>
                    <w:jc w:val="left"/>
                  </w:pPr>
                  <w:r/>
                  <w:r>
                    <w:rPr>
                      <w:b w:val="0"/>
                      <w:sz w:val="16"/>
                    </w:rPr>
                    <w:t>Calibration window</w:t>
                  </w:r>
                </w:p>
              </w:tc>
              <w:tc>
                <w:tcPr>
                  <w:tcW w:type="dxa" w:w="2232"/>
                  <w:shd w:val="clear" w:color="auto" w:fill="f7fafc"/>
                </w:tcPr>
                <w:p>
                  <w:pPr>
                    <w:jc w:val="right"/>
                  </w:pPr>
                  <w:r/>
                  <w:r>
                    <w:rPr>
                      <w:b/>
                      <w:sz w:val="16"/>
                    </w:rPr>
                    <w:t>2016-01-01 – 2018-12-31</w:t>
                  </w:r>
                </w:p>
              </w:tc>
            </w:tr>
            <w:tr>
              <w:tc>
                <w:tcPr>
                  <w:tcW w:type="dxa" w:w="2232"/>
                  <w:shd w:val="clear" w:color="auto" w:fill="ffffff"/>
                </w:tcPr>
                <w:p>
                  <w:pPr>
                    <w:jc w:val="left"/>
                  </w:pPr>
                  <w:r/>
                  <w:r>
                    <w:rPr>
                      <w:b w:val="0"/>
                      <w:sz w:val="16"/>
                    </w:rPr>
                    <w:t>Horizon</w:t>
                  </w:r>
                </w:p>
              </w:tc>
              <w:tc>
                <w:tcPr>
                  <w:tcW w:type="dxa" w:w="2232"/>
                  <w:shd w:val="clear" w:color="auto" w:fill="ffffff"/>
                </w:tcPr>
                <w:p>
                  <w:pPr>
                    <w:jc w:val="right"/>
                  </w:pPr>
                  <w:r/>
                  <w:r>
                    <w:rPr>
                      <w:b/>
                      <w:sz w:val="16"/>
                    </w:rPr>
                    <w:t>252 trading days</w:t>
                  </w:r>
                </w:p>
              </w:tc>
            </w:tr>
            <w:tr>
              <w:tc>
                <w:tcPr>
                  <w:tcW w:type="dxa" w:w="2232"/>
                  <w:shd w:val="clear" w:color="auto" w:fill="f7fafc"/>
                </w:tcPr>
                <w:p>
                  <w:pPr>
                    <w:jc w:val="left"/>
                  </w:pPr>
                  <w:r/>
                  <w:r>
                    <w:rPr>
                      <w:b w:val="0"/>
                      <w:sz w:val="16"/>
                    </w:rPr>
                    <w:t>Starting vol (σ₀)</w:t>
                  </w:r>
                </w:p>
              </w:tc>
              <w:tc>
                <w:tcPr>
                  <w:tcW w:type="dxa" w:w="2232"/>
                  <w:shd w:val="clear" w:color="auto" w:fill="f7fafc"/>
                </w:tcPr>
                <w:p>
                  <w:pPr>
                    <w:jc w:val="right"/>
                  </w:pPr>
                  <w:r/>
                  <w:r>
                    <w:rPr>
                      <w:b/>
                      <w:sz w:val="16"/>
                    </w:rPr>
                    <w:t>Unconditional</w:t>
                  </w:r>
                </w:p>
              </w:tc>
            </w:tr>
            <w:tr>
              <w:tc>
                <w:tcPr>
                  <w:tcW w:type="dxa" w:w="2232"/>
                  <w:shd w:val="clear" w:color="auto" w:fill="ffffff"/>
                </w:tcPr>
                <w:p>
                  <w:pPr>
                    <w:jc w:val="left"/>
                  </w:pPr>
                  <w:r/>
                  <w:r>
                    <w:rPr>
                      <w:b w:val="0"/>
                      <w:sz w:val="16"/>
                    </w:rPr>
                    <w:t>Leverage (γ)</w:t>
                  </w:r>
                </w:p>
              </w:tc>
              <w:tc>
                <w:tcPr>
                  <w:tcW w:type="dxa" w:w="2232"/>
                  <w:shd w:val="clear" w:color="auto" w:fill="ffffff"/>
                </w:tcPr>
                <w:p>
                  <w:pPr>
                    <w:jc w:val="right"/>
                  </w:pPr>
                  <w:r/>
                  <w:r>
                    <w:rPr>
                      <w:b/>
                      <w:sz w:val="16"/>
                    </w:rPr>
                    <w:t>1.0× fitted</w:t>
                  </w:r>
                </w:p>
              </w:tc>
            </w:tr>
            <w:tr>
              <w:tc>
                <w:tcPr>
                  <w:tcW w:type="dxa" w:w="2232"/>
                  <w:shd w:val="clear" w:color="auto" w:fill="f7fafc"/>
                </w:tcPr>
                <w:p>
                  <w:pPr>
                    <w:jc w:val="left"/>
                  </w:pPr>
                  <w:r/>
                  <w:r>
                    <w:rPr>
                      <w:b w:val="0"/>
                      <w:sz w:val="16"/>
                    </w:rPr>
                    <w:t>Tail heaviness (ν)</w:t>
                  </w:r>
                </w:p>
              </w:tc>
              <w:tc>
                <w:tcPr>
                  <w:tcW w:type="dxa" w:w="2232"/>
                  <w:shd w:val="clear" w:color="auto" w:fill="f7fafc"/>
                </w:tcPr>
                <w:p>
                  <w:pPr>
                    <w:jc w:val="right"/>
                  </w:pPr>
                  <w:r/>
                  <w:r>
                    <w:rPr>
                      <w:b/>
                      <w:sz w:val="16"/>
                    </w:rPr>
                    <w:t>Fitted</w:t>
                  </w:r>
                </w:p>
              </w:tc>
            </w:tr>
            <w:tr>
              <w:tc>
                <w:tcPr>
                  <w:tcW w:type="dxa" w:w="2232"/>
                  <w:shd w:val="clear" w:color="auto" w:fill="ffffff"/>
                </w:tcPr>
                <w:p>
                  <w:pPr>
                    <w:jc w:val="left"/>
                  </w:pPr>
                  <w:r/>
                  <w:r>
                    <w:rPr>
                      <w:b w:val="0"/>
                      <w:sz w:val="16"/>
                    </w:rPr>
                    <w:t>Mean drift shock</w:t>
                  </w:r>
                </w:p>
              </w:tc>
              <w:tc>
                <w:tcPr>
                  <w:tcW w:type="dxa" w:w="2232"/>
                  <w:shd w:val="clear" w:color="auto" w:fill="ffffff"/>
                </w:tcPr>
                <w:p>
                  <w:pPr>
                    <w:jc w:val="right"/>
                  </w:pPr>
                  <w:r/>
                  <w:r>
                    <w:rPr>
                      <w:b/>
                      <w:sz w:val="16"/>
                    </w:rPr>
                    <w:t>+0.02 % / day</w:t>
                  </w:r>
                </w:p>
              </w:tc>
            </w:tr>
            <w:tr>
              <w:tc>
                <w:tcPr>
                  <w:tcW w:type="dxa" w:w="2232"/>
                  <w:shd w:val="clear" w:color="auto" w:fill="f7fafc"/>
                </w:tcPr>
                <w:p>
                  <w:pPr>
                    <w:jc w:val="left"/>
                  </w:pPr>
                  <w:r/>
                  <w:r>
                    <w:rPr>
                      <w:b w:val="0"/>
                      <w:sz w:val="16"/>
                    </w:rPr>
                    <w:t>Fitted ν (model)</w:t>
                  </w:r>
                </w:p>
              </w:tc>
              <w:tc>
                <w:tcPr>
                  <w:tcW w:type="dxa" w:w="2232"/>
                  <w:shd w:val="clear" w:color="auto" w:fill="f7fafc"/>
                </w:tcPr>
                <w:p>
                  <w:pPr>
                    <w:jc w:val="right"/>
                  </w:pPr>
                  <w:r/>
                  <w:r>
                    <w:rPr>
                      <w:b/>
                      <w:sz w:val="16"/>
                    </w:rPr>
                    <w:t>6.05</w:t>
                  </w:r>
                </w:p>
              </w:tc>
            </w:tr>
            <w:tr>
              <w:tc>
                <w:tcPr>
                  <w:tcW w:type="dxa" w:w="2232"/>
                  <w:shd w:val="clear" w:color="auto" w:fill="ffffff"/>
                </w:tcPr>
                <w:p>
                  <w:pPr>
                    <w:jc w:val="left"/>
                  </w:pPr>
                  <w:r/>
                  <w:r>
                    <w:rPr>
                      <w:b w:val="0"/>
                      <w:sz w:val="16"/>
                    </w:rPr>
                    <w:t>Fitted β (persist.)</w:t>
                  </w:r>
                </w:p>
              </w:tc>
              <w:tc>
                <w:tcPr>
                  <w:tcW w:type="dxa" w:w="2232"/>
                  <w:shd w:val="clear" w:color="auto" w:fill="ffffff"/>
                </w:tcPr>
                <w:p>
                  <w:pPr>
                    <w:jc w:val="right"/>
                  </w:pPr>
                  <w:r/>
                  <w:r>
                    <w:rPr>
                      <w:b/>
                      <w:sz w:val="16"/>
                    </w:rPr>
                    <w:t>0.9680</w:t>
                  </w:r>
                </w:p>
              </w:tc>
            </w:tr>
          </w:tbl>
          <w:p/>
        </w:tc>
        <w:tc>
          <w:tcPr>
            <w:tcW w:type="dxa" w:w="4464"/>
          </w:tcPr>
          <w:p>
            <w:r>
              <w:rPr>
                <w:b/>
                <w:color w:val="276749"/>
                <w:sz w:val="18"/>
              </w:rPr>
              <w:t>Risk Metrics</w:t>
            </w:r>
          </w:p>
          <w:tbl>
            <w:tblPr>
              <w:tblStyle w:val="TableGrid"/>
              <w:tblW w:type="auto" w:w="0"/>
              <w:tblLook w:firstColumn="1" w:firstRow="1" w:lastColumn="0" w:lastRow="0" w:noHBand="0" w:noVBand="1" w:val="04A0"/>
            </w:tblPr>
            <w:tblGrid>
              <w:gridCol w:w="2232"/>
              <w:gridCol w:w="2232"/>
            </w:tblGrid>
            <w:tr>
              <w:tc>
                <w:tcPr>
                  <w:tcW w:type="dxa" w:w="2232"/>
                  <w:shd w:val="clear" w:color="auto" w:fill="276749"/>
                </w:tcPr>
                <w:p>
                  <w:pPr>
                    <w:jc w:val="left"/>
                  </w:pPr>
                  <w:r/>
                  <w:r>
                    <w:rPr>
                      <w:b/>
                      <w:color w:val="FFFFFF"/>
                      <w:sz w:val="16"/>
                    </w:rPr>
                    <w:t>Metric</w:t>
                  </w:r>
                </w:p>
              </w:tc>
              <w:tc>
                <w:tcPr>
                  <w:tcW w:type="dxa" w:w="2232"/>
                  <w:shd w:val="clear" w:color="auto" w:fill="276749"/>
                </w:tcPr>
                <w:p>
                  <w:pPr>
                    <w:jc w:val="right"/>
                  </w:pPr>
                  <w:r/>
                  <w:r>
                    <w:rPr>
                      <w:b/>
                      <w:color w:val="FFFFFF"/>
                      <w:sz w:val="16"/>
                    </w:rPr>
                    <w:t>Value</w:t>
                  </w:r>
                </w:p>
              </w:tc>
            </w:tr>
            <w:tr>
              <w:tc>
                <w:tcPr>
                  <w:tcW w:type="dxa" w:w="2232"/>
                  <w:shd w:val="clear" w:color="auto" w:fill="f7fafc"/>
                </w:tcPr>
                <w:p>
                  <w:pPr>
                    <w:jc w:val="left"/>
                  </w:pPr>
                  <w:r/>
                  <w:r>
                    <w:rPr>
                      <w:b w:val="0"/>
                      <w:sz w:val="16"/>
                    </w:rPr>
                    <w:t>Annualised vol</w:t>
                  </w:r>
                </w:p>
              </w:tc>
              <w:tc>
                <w:tcPr>
                  <w:tcW w:type="dxa" w:w="2232"/>
                  <w:shd w:val="clear" w:color="auto" w:fill="f7fafc"/>
                </w:tcPr>
                <w:p>
                  <w:pPr>
                    <w:jc w:val="right"/>
                  </w:pPr>
                  <w:r/>
                  <w:r>
                    <w:rPr>
                      <w:b/>
                      <w:sz w:val="16"/>
                    </w:rPr>
                    <w:t>26.4 %</w:t>
                  </w:r>
                </w:p>
              </w:tc>
            </w:tr>
            <w:tr>
              <w:tc>
                <w:tcPr>
                  <w:tcW w:type="dxa" w:w="2232"/>
                  <w:shd w:val="clear" w:color="auto" w:fill="ffffff"/>
                </w:tcPr>
                <w:p>
                  <w:pPr>
                    <w:jc w:val="left"/>
                  </w:pPr>
                  <w:r/>
                  <w:r>
                    <w:rPr>
                      <w:b w:val="0"/>
                      <w:sz w:val="16"/>
                    </w:rPr>
                    <w:t>Daily VaR 95%</w:t>
                  </w:r>
                </w:p>
              </w:tc>
              <w:tc>
                <w:tcPr>
                  <w:tcW w:type="dxa" w:w="2232"/>
                  <w:shd w:val="clear" w:color="auto" w:fill="ffffff"/>
                </w:tcPr>
                <w:p>
                  <w:pPr>
                    <w:jc w:val="right"/>
                  </w:pPr>
                  <w:r/>
                  <w:r>
                    <w:rPr>
                      <w:b/>
                      <w:sz w:val="16"/>
                    </w:rPr>
                    <w:t>2.43 %</w:t>
                  </w:r>
                </w:p>
              </w:tc>
            </w:tr>
            <w:tr>
              <w:tc>
                <w:tcPr>
                  <w:tcW w:type="dxa" w:w="2232"/>
                  <w:shd w:val="clear" w:color="auto" w:fill="f7fafc"/>
                </w:tcPr>
                <w:p>
                  <w:pPr>
                    <w:jc w:val="left"/>
                  </w:pPr>
                  <w:r/>
                  <w:r>
                    <w:rPr>
                      <w:b w:val="0"/>
                      <w:sz w:val="16"/>
                    </w:rPr>
                    <w:t>Daily VaR 99%</w:t>
                  </w:r>
                </w:p>
              </w:tc>
              <w:tc>
                <w:tcPr>
                  <w:tcW w:type="dxa" w:w="2232"/>
                  <w:shd w:val="clear" w:color="auto" w:fill="f7fafc"/>
                </w:tcPr>
                <w:p>
                  <w:pPr>
                    <w:jc w:val="right"/>
                  </w:pPr>
                  <w:r/>
                  <w:r>
                    <w:rPr>
                      <w:b/>
                      <w:sz w:val="16"/>
                    </w:rPr>
                    <w:t>4.26 %</w:t>
                  </w:r>
                </w:p>
              </w:tc>
            </w:tr>
            <w:tr>
              <w:tc>
                <w:tcPr>
                  <w:tcW w:type="dxa" w:w="2232"/>
                  <w:shd w:val="clear" w:color="auto" w:fill="ffffff"/>
                </w:tcPr>
                <w:p>
                  <w:pPr>
                    <w:jc w:val="left"/>
                  </w:pPr>
                  <w:r/>
                  <w:r>
                    <w:rPr>
                      <w:b w:val="0"/>
                      <w:sz w:val="16"/>
                    </w:rPr>
                    <w:t>Daily ES 99%</w:t>
                  </w:r>
                </w:p>
              </w:tc>
              <w:tc>
                <w:tcPr>
                  <w:tcW w:type="dxa" w:w="2232"/>
                  <w:shd w:val="clear" w:color="auto" w:fill="ffffff"/>
                </w:tcPr>
                <w:p>
                  <w:pPr>
                    <w:jc w:val="right"/>
                  </w:pPr>
                  <w:r/>
                  <w:r>
                    <w:rPr>
                      <w:b/>
                      <w:sz w:val="16"/>
                    </w:rPr>
                    <w:t>5.82 %</w:t>
                  </w:r>
                </w:p>
              </w:tc>
            </w:tr>
            <w:tr>
              <w:tc>
                <w:tcPr>
                  <w:tcW w:type="dxa" w:w="2232"/>
                  <w:shd w:val="clear" w:color="auto" w:fill="f7fafc"/>
                </w:tcPr>
                <w:p>
                  <w:pPr>
                    <w:jc w:val="left"/>
                  </w:pPr>
                  <w:r/>
                  <w:r>
                    <w:rPr>
                      <w:b w:val="0"/>
                      <w:sz w:val="16"/>
                    </w:rPr>
                    <w:t>Horizon P1 cum. return</w:t>
                  </w:r>
                </w:p>
              </w:tc>
              <w:tc>
                <w:tcPr>
                  <w:tcW w:type="dxa" w:w="2232"/>
                  <w:shd w:val="clear" w:color="auto" w:fill="f7fafc"/>
                </w:tcPr>
                <w:p>
                  <w:pPr>
                    <w:jc w:val="right"/>
                  </w:pPr>
                  <w:r/>
                  <w:r>
                    <w:rPr>
                      <w:b/>
                      <w:sz w:val="16"/>
                    </w:rPr>
                    <w:t>-32.2 %</w:t>
                  </w:r>
                </w:p>
              </w:tc>
            </w:tr>
            <w:tr>
              <w:tc>
                <w:tcPr>
                  <w:tcW w:type="dxa" w:w="2232"/>
                  <w:shd w:val="clear" w:color="auto" w:fill="ffffff"/>
                </w:tcPr>
                <w:p>
                  <w:pPr>
                    <w:jc w:val="left"/>
                  </w:pPr>
                  <w:r/>
                  <w:r>
                    <w:rPr>
                      <w:b w:val="0"/>
                      <w:sz w:val="16"/>
                    </w:rPr>
                    <w:t>Horizon P10 cum. return</w:t>
                  </w:r>
                </w:p>
              </w:tc>
              <w:tc>
                <w:tcPr>
                  <w:tcW w:type="dxa" w:w="2232"/>
                  <w:shd w:val="clear" w:color="auto" w:fill="ffffff"/>
                </w:tcPr>
                <w:p>
                  <w:pPr>
                    <w:jc w:val="right"/>
                  </w:pPr>
                  <w:r/>
                  <w:r>
                    <w:rPr>
                      <w:b/>
                      <w:sz w:val="16"/>
                    </w:rPr>
                    <w:t>-2.3 %</w:t>
                  </w:r>
                </w:p>
              </w:tc>
            </w:tr>
            <w:tr>
              <w:tc>
                <w:tcPr>
                  <w:tcW w:type="dxa" w:w="2232"/>
                  <w:shd w:val="clear" w:color="auto" w:fill="f7fafc"/>
                </w:tcPr>
                <w:p>
                  <w:pPr>
                    <w:jc w:val="left"/>
                  </w:pPr>
                  <w:r/>
                  <w:r>
                    <w:rPr>
                      <w:b w:val="0"/>
                      <w:sz w:val="16"/>
                    </w:rPr>
                    <w:t>Horizon median return</w:t>
                  </w:r>
                </w:p>
              </w:tc>
              <w:tc>
                <w:tcPr>
                  <w:tcW w:type="dxa" w:w="2232"/>
                  <w:shd w:val="clear" w:color="auto" w:fill="f7fafc"/>
                </w:tcPr>
                <w:p>
                  <w:pPr>
                    <w:jc w:val="right"/>
                  </w:pPr>
                  <w:r/>
                  <w:r>
                    <w:rPr>
                      <w:b/>
                      <w:sz w:val="16"/>
                    </w:rPr>
                    <w:t>36.7 %</w:t>
                  </w:r>
                </w:p>
              </w:tc>
            </w:tr>
            <w:tr>
              <w:tc>
                <w:tcPr>
                  <w:tcW w:type="dxa" w:w="2232"/>
                  <w:shd w:val="clear" w:color="auto" w:fill="ffffff"/>
                </w:tcPr>
                <w:p>
                  <w:pPr>
                    <w:jc w:val="left"/>
                  </w:pPr>
                  <w:r/>
                  <w:r>
                    <w:rPr>
                      <w:b w:val="0"/>
                      <w:sz w:val="16"/>
                    </w:rPr>
                    <w:t>Mean max drawdown</w:t>
                  </w:r>
                </w:p>
              </w:tc>
              <w:tc>
                <w:tcPr>
                  <w:tcW w:type="dxa" w:w="2232"/>
                  <w:shd w:val="clear" w:color="auto" w:fill="ffffff"/>
                </w:tcPr>
                <w:p>
                  <w:pPr>
                    <w:jc w:val="right"/>
                  </w:pPr>
                  <w:r/>
                  <w:r>
                    <w:rPr>
                      <w:b/>
                      <w:sz w:val="16"/>
                    </w:rPr>
                    <w:t>18.6 %</w:t>
                  </w:r>
                </w:p>
              </w:tc>
            </w:tr>
            <w:tr>
              <w:tc>
                <w:tcPr>
                  <w:tcW w:type="dxa" w:w="2232"/>
                  <w:shd w:val="clear" w:color="auto" w:fill="f7fafc"/>
                </w:tcPr>
                <w:p>
                  <w:pPr>
                    <w:jc w:val="left"/>
                  </w:pPr>
                  <w:r/>
                  <w:r>
                    <w:rPr>
                      <w:b w:val="0"/>
                      <w:sz w:val="16"/>
                    </w:rPr>
                    <w:t>P95 max drawdown</w:t>
                  </w:r>
                </w:p>
              </w:tc>
              <w:tc>
                <w:tcPr>
                  <w:tcW w:type="dxa" w:w="2232"/>
                  <w:shd w:val="clear" w:color="auto" w:fill="f7fafc"/>
                </w:tcPr>
                <w:p>
                  <w:pPr>
                    <w:jc w:val="right"/>
                  </w:pPr>
                  <w:r/>
                  <w:r>
                    <w:rPr>
                      <w:b/>
                      <w:sz w:val="16"/>
                    </w:rPr>
                    <w:t>37.7 %</w:t>
                  </w:r>
                </w:p>
              </w:tc>
            </w:tr>
            <w:tr>
              <w:tc>
                <w:tcPr>
                  <w:tcW w:type="dxa" w:w="2232"/>
                  <w:shd w:val="clear" w:color="auto" w:fill="ffffff"/>
                </w:tcPr>
                <w:p>
                  <w:pPr>
                    <w:jc w:val="left"/>
                  </w:pPr>
                  <w:r/>
                  <w:r>
                    <w:rPr>
                      <w:b w:val="0"/>
                      <w:sz w:val="16"/>
                    </w:rPr>
                    <w:t>Prob(drawdown &gt; 20 %)</w:t>
                  </w:r>
                </w:p>
              </w:tc>
              <w:tc>
                <w:tcPr>
                  <w:tcW w:type="dxa" w:w="2232"/>
                  <w:shd w:val="clear" w:color="auto" w:fill="ffffff"/>
                </w:tcPr>
                <w:p>
                  <w:pPr>
                    <w:jc w:val="right"/>
                  </w:pPr>
                  <w:r/>
                  <w:r>
                    <w:rPr>
                      <w:b/>
                      <w:sz w:val="16"/>
                    </w:rPr>
                    <w:t>35.4 %</w:t>
                  </w:r>
                </w:p>
              </w:tc>
            </w:tr>
            <w:tr>
              <w:tc>
                <w:tcPr>
                  <w:tcW w:type="dxa" w:w="2232"/>
                  <w:shd w:val="clear" w:color="auto" w:fill="f7fafc"/>
                </w:tcPr>
                <w:p>
                  <w:pPr>
                    <w:jc w:val="left"/>
                  </w:pPr>
                  <w:r/>
                  <w:r>
                    <w:rPr>
                      <w:b w:val="0"/>
                      <w:sz w:val="16"/>
                    </w:rPr>
                    <w:t>Prob(drawdown &gt; 40 %)</w:t>
                  </w:r>
                </w:p>
              </w:tc>
              <w:tc>
                <w:tcPr>
                  <w:tcW w:type="dxa" w:w="2232"/>
                  <w:shd w:val="clear" w:color="auto" w:fill="f7fafc"/>
                </w:tcPr>
                <w:p>
                  <w:pPr>
                    <w:jc w:val="right"/>
                  </w:pPr>
                  <w:r/>
                  <w:r>
                    <w:rPr>
                      <w:b/>
                      <w:sz w:val="16"/>
                    </w:rPr>
                    <w:t>4.2 %</w:t>
                  </w:r>
                </w:p>
              </w:tc>
            </w:tr>
            <w:tr>
              <w:tc>
                <w:tcPr>
                  <w:tcW w:type="dxa" w:w="2232"/>
                  <w:shd w:val="clear" w:color="auto" w:fill="ffffff"/>
                </w:tcPr>
                <w:p>
                  <w:pPr>
                    <w:jc w:val="left"/>
                  </w:pPr>
                  <w:r/>
                  <w:r>
                    <w:rPr>
                      <w:b w:val="0"/>
                      <w:sz w:val="16"/>
                    </w:rPr>
                    <w:t>Prob(total loss &gt; 30 %)</w:t>
                  </w:r>
                </w:p>
              </w:tc>
              <w:tc>
                <w:tcPr>
                  <w:tcW w:type="dxa" w:w="2232"/>
                  <w:shd w:val="clear" w:color="auto" w:fill="ffffff"/>
                </w:tcPr>
                <w:p>
                  <w:pPr>
                    <w:jc w:val="right"/>
                  </w:pPr>
                  <w:r/>
                  <w:r>
                    <w:rPr>
                      <w:b/>
                      <w:sz w:val="16"/>
                    </w:rPr>
                    <w:t>1.1 %</w:t>
                  </w:r>
                </w:p>
              </w:tc>
            </w:tr>
          </w:tbl>
          <w:p/>
        </w:tc>
      </w:tr>
    </w:tbl>
    <w:p/>
    <w:p>
      <w:pPr>
        <w:jc w:val="center"/>
      </w:pPr>
      <w:r>
        <w:drawing>
          <wp:inline xmlns:a="http://schemas.openxmlformats.org/drawingml/2006/main" xmlns:pic="http://schemas.openxmlformats.org/drawingml/2006/picture">
            <wp:extent cx="5486400" cy="339535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3395357"/>
                    </a:xfrm>
                    <a:prstGeom prst="rect"/>
                  </pic:spPr>
                </pic:pic>
              </a:graphicData>
            </a:graphic>
          </wp:inline>
        </w:drawing>
      </w:r>
    </w:p>
    <w:p>
      <w:r>
        <w:br w:type="page"/>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