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50" w:line="264" w:lineRule="auto"/>
      </w:pPr>
      <w:r>
        <w:rPr>
          <w:rFonts w:ascii="Calibri" w:hAnsi="Calibri"/>
          <w:color w:val="8B938C"/>
          <w:sz w:val="15"/>
          <w:spacing w:val="16"/>
        </w:rPr>
        <w:t xml:space="preserve">MEETING ORCHESTRATOR — BUILD APPROACH, QUESTIONS ANSWERED  ·  </w:t>
      </w:r>
      <w:r>
        <w:rPr>
          <w:rFonts w:ascii="Calibri" w:hAnsi="Calibri"/>
          <w:b/>
          <w:color w:val="8A6A2B"/>
          <w:sz w:val="15"/>
          <w:spacing w:val="16"/>
        </w:rPr>
        <w:t xml:space="preserve">INTERNAL</w:t>
      </w:r>
    </w:p>
    <w:p>
      <w:pPr>
        <w:spacing w:before="0" w:after="90" w:line="264" w:lineRule="auto"/>
      </w:pPr>
      <w:r>
        <w:rPr>
          <w:rFonts w:ascii="Georgia" w:hAnsi="Georgia"/>
          <w:color w:val="12241D"/>
          <w:sz w:val="38"/>
        </w:rPr>
        <w:t xml:space="preserve">Native D365, or a code app? The questions we were asked.</w:t>
      </w:r>
    </w:p>
    <w:p>
      <w:pPr>
        <w:spacing w:before="0" w:after="160" w:line="264" w:lineRule="auto"/>
      </w:pPr>
      <w:r>
        <w:rPr>
          <w:rFonts w:ascii="Calibri" w:hAnsi="Calibri"/>
          <w:color w:val="4A5350"/>
          <w:sz w:val="21"/>
        </w:rPr>
        <w:t xml:space="preserve">One tenant, one Dataverse, one source of truth. The only question is what renders the booking journey.</w:t>
      </w:r>
    </w:p>
    <w:tbl>
      <w:tblPr>
        <w:tblW w:w="10440" w:type="dxa"/>
        <w:tblLayout w:type="fixed"/>
        <w:tblBorders>
          <w:top w:val="single" w:sz="6" w:color="CDBB92"/>
          <w:left w:val="single" w:sz="6" w:color="CDBB92"/>
          <w:bottom w:val="single" w:sz="6" w:color="CDBB92"/>
          <w:right w:val="single" w:sz="6" w:color="CDBB92"/>
          <w:insideH w:val="single" w:sz="6" w:color="CDBB92"/>
          <w:insideV w:val="single" w:sz="6" w:color="CDBB92"/>
        </w:tblBorders>
      </w:tblPr>
      <w:tr>
        <w:tc>
          <w:tcPr>
            <w:tcW w:w="10440" w:type="dxa"/>
            <w:shd w:val="clear" w:color="auto" w:fill="FBF7EE"/>
            <w:tcMar>
              <w:top w:w="150" w:type="dxa"/>
              <w:bottom w:w="150" w:type="dxa"/>
              <w:left w:w="170" w:type="dxa"/>
              <w:right w:w="120" w:type="dxa"/>
            </w:tcMar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8A6A2B"/>
                <w:sz w:val="15"/>
                <w:caps/>
                <w:spacing w:val="20"/>
              </w:rPr>
              <w:t xml:space="preserve">Verdict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2241D"/>
                <w:sz w:val="20"/>
              </w:rPr>
              <w:t xml:space="preserve">Keep CRM as the system of record. Build the booking-and-approve journey as a code app. </w:t>
            </w:r>
            <w:r>
              <w:rPr>
                <w:rFonts w:ascii="Calibri" w:hAnsi="Calibri"/>
                <w:color w:val="12241D"/>
                <w:sz w:val="20"/>
              </w:rPr>
              <w:t xml:space="preserve">Use a generative page for the RM dashboard surface inside the model-driven app. Records, security, audit and analytical reporting stay native — reporting embedded rather than rebuilt. No second database, no bespoke AI logic: we consume connectors and Microsoft's own AI.</w:t>
            </w:r>
          </w:p>
        </w:tc>
      </w:tr>
    </w:tbl>
    <w:p>
      <w:pPr>
        <w:spacing w:before="0" w:after="160" w:line="264" w:lineRule="auto"/>
      </w:pPr>
    </w:p>
    <w:tbl>
      <w:tblPr>
        <w:tblW w:w="10440" w:type="dxa"/>
        <w:tblLayout w:type="fixed"/>
        <w:tblBorders>
          <w:top w:val="single" w:sz="4" w:color="E3E2DC"/>
          <w:left w:val="single" w:sz="4" w:color="E3E2DC"/>
          <w:bottom w:val="single" w:sz="4" w:color="E3E2DC"/>
          <w:right w:val="single" w:sz="4" w:color="E3E2DC"/>
          <w:insideH w:val="single" w:sz="4" w:color="E3E2DC"/>
          <w:insideV w:val="single" w:sz="4" w:color="E3E2DC"/>
        </w:tblBorders>
      </w:tblPr>
      <w:tr>
        <w:trPr>
          <w:tblHeader/>
        </w:trP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8B938C"/>
                <w:sz w:val="15"/>
                <w:caps/>
                <w:spacing w:val="16"/>
              </w:rPr>
              <w:t xml:space="preserve">#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8B938C"/>
                <w:sz w:val="15"/>
                <w:caps/>
                <w:spacing w:val="16"/>
              </w:rPr>
              <w:t xml:space="preserve">Question and answer</w:t>
            </w:r>
          </w:p>
        </w:tc>
        <w:tc>
          <w:tcPr>
            <w:tcW w:w="170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8B938C"/>
                <w:sz w:val="15"/>
                <w:caps/>
                <w:spacing w:val="16"/>
              </w:rPr>
              <w:t xml:space="preserve">Verdict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01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Why can't we just build this natively in D365?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We can build the data, security and audit natively — and we are. The three-stage wizard with a pinned approval bar is not a model-driven form, so “native” becomes canvas pages plus bespoke controls plus a connector plus a function: more custom code than the code app, across three runtimes.</w:t>
            </w:r>
          </w:p>
        </w:tc>
        <w:tc>
          <w:tcPr>
            <w:tcW w:w="1700" w:type="dxa"/>
            <w:shd w:val="clear" w:color="auto" w:fill="FBF7EE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8A6A2B"/>
                <w:sz w:val="15"/>
              </w:rPr>
              <w:t xml:space="preserve">Code app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02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Does CRM have AI that reads a dropped email and detects intent?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Yes. AI Builder prompts return structured data and are callable from a flow or Power Fx. We are writing no AI logic either way — we consume connectors and Microsoft's own AI for slot suggestion and stakeholder detection. The AI is not the differentiator.</w:t>
            </w:r>
          </w:p>
        </w:tc>
        <w:tc>
          <w:tcPr>
            <w:tcW w:w="1700" w:type="dxa"/>
            <w:shd w:val="clear" w:color="auto" w:fill="F4F3F0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A5350"/>
                <w:sz w:val="15"/>
              </w:rPr>
              <w:t xml:space="preserve">Both can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03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If CRM is the source of truth, why an interim Dataverse?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There isn't one. Dataverse is CRM's database — the code app writes to the same rows the model-driven app shows. AI suggestions are held in the browser and committed once, on the RM's confirmation.</w:t>
            </w:r>
          </w:p>
        </w:tc>
        <w:tc>
          <w:tcPr>
            <w:tcW w:w="1700" w:type="dxa"/>
            <w:shd w:val="clear" w:color="auto" w:fill="F4F3F0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A5350"/>
                <w:sz w:val="15"/>
              </w:rPr>
              <w:t xml:space="preserve">Non-issue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04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Is the code app's UX genuinely better?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On the booking flow, yes — six steps to three. The argument is step count and density on one page, not any single feature: most individual behaviours can be built on a form, but only as a longer scroll with unsupported scripting. On lists, filters and exports native is better and we keep it.</w:t>
            </w:r>
          </w:p>
        </w:tc>
        <w:tc>
          <w:tcPr>
            <w:tcW w:w="1700" w:type="dxa"/>
            <w:shd w:val="clear" w:color="auto" w:fill="FBF7EE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8A6A2B"/>
                <w:sz w:val="15"/>
              </w:rPr>
              <w:t xml:space="preserve">Code app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05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Can CRM show an RM how many meetings they've arranged?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Yes. Split it: the operational glance an RM acts on — today, pending confirmations, rooms not secured — belongs in the app and is small to build. Analytical reporting is a Power BI report embedded in the same page, so managers and compliance read the same numbers.</w:t>
            </w:r>
          </w:p>
        </w:tc>
        <w:tc>
          <w:tcPr>
            <w:tcW w:w="1700" w:type="dxa"/>
            <w:shd w:val="clear" w:color="auto" w:fill="F4F3F0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A5350"/>
                <w:sz w:val="15"/>
              </w:rPr>
              <w:t xml:space="preserve">Both can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06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Can't generative pages in model-driven apps replace the code app?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The fairest challenge — they produce real React inside the app with no layout constraints, so we tested it rather than argue. See the spike findings below: the booking page came back as a long scroll without per-field AI state, and refinement re-rolled earlier sections. We will use generative pages for the dashboard surface.</w:t>
            </w:r>
          </w:p>
        </w:tc>
        <w:tc>
          <w:tcPr>
            <w:tcW w:w="1700" w:type="dxa"/>
            <w:shd w:val="clear" w:color="auto" w:fill="FBF7EE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8A6A2B"/>
                <w:sz w:val="15"/>
              </w:rPr>
              <w:t xml:space="preserve">Code app</w:t>
            </w:r>
          </w:p>
        </w:tc>
      </w:tr>
      <w:tr>
        <w:tc>
          <w:tcPr>
            <w:tcW w:w="56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C4BFAE"/>
                <w:sz w:val="16"/>
              </w:rPr>
              <w:t xml:space="preserve">07</w:t>
            </w:r>
          </w:p>
        </w:tc>
        <w:tc>
          <w:tcPr>
            <w:tcW w:w="8180" w:type="dxa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40" w:line="264" w:lineRule="auto"/>
            </w:pPr>
            <w:r>
              <w:rPr>
                <w:rFonts w:ascii="Calibri" w:hAnsi="Calibri"/>
                <w:b/>
                <w:color w:val="12241D"/>
                <w:sz w:val="19"/>
              </w:rPr>
              <w:t xml:space="preserve">Can AI find the best room and slot?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Ranking rooms and slots is constraint logic, not machine learning — and Graph plus Microsoft 365 room recommendation already do most of it. What stays ours is showing the RM why, and requiring a human confirm; Copilot rebooks silently, which a client meeting cannot.</w:t>
            </w:r>
          </w:p>
        </w:tc>
        <w:tc>
          <w:tcPr>
            <w:tcW w:w="1700" w:type="dxa"/>
            <w:shd w:val="clear" w:color="auto" w:fill="F4F3F0"/>
            <w:tcMar>
              <w:top w:w="100" w:type="dxa"/>
              <w:bottom w:w="100" w:type="dxa"/>
              <w:left w:w="120" w:type="dxa"/>
              <w:right w:w="120" w:type="dxa"/>
            </w:tcMar>
            <w:vAlign w:val="top"/>
          </w:tcPr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4A5350"/>
                <w:sz w:val="15"/>
              </w:rPr>
              <w:t xml:space="preserve">Off the shelf</w:t>
            </w:r>
          </w:p>
        </w:tc>
      </w:tr>
    </w:tbl>
    <w:p>
      <w:pPr>
        <w:spacing w:before="0" w:after="160" w:line="264" w:lineRule="auto"/>
      </w:pPr>
    </w:p>
    <w:tbl>
      <w:tblPr>
        <w:tblW w:w="10440" w:type="dxa"/>
        <w:tblLayout w:type="fixed"/>
        <w:tblBorders>
          <w:top w:val="single" w:sz="4" w:color="E3E2DC"/>
          <w:left w:val="single" w:sz="4" w:color="E3E2DC"/>
          <w:bottom w:val="single" w:sz="4" w:color="E3E2DC"/>
          <w:right w:val="single" w:sz="4" w:color="E3E2DC"/>
          <w:insideH w:val="single" w:sz="4" w:color="E3E2DC"/>
          <w:insideV w:val="single" w:sz="4" w:color="E3E2DC"/>
        </w:tblBorders>
      </w:tblPr>
      <w:tr>
        <w:tc>
          <w:tcPr>
            <w:tcW w:w="5220" w:type="dxa"/>
            <w:shd w:val="clear" w:color="auto" w:fill="FAF9F6"/>
            <w:tcMar>
              <w:top w:w="140" w:type="dxa"/>
              <w:bottom w:w="140" w:type="dxa"/>
              <w:left w:w="160" w:type="dxa"/>
              <w:right w:w="120" w:type="dxa"/>
            </w:tcMar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8A6A2B"/>
                <w:sz w:val="15"/>
                <w:caps/>
                <w:spacing w:val="20"/>
              </w:rPr>
              <w:t xml:space="preserve">Build vs. embed vs. leave native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b/>
                <w:color w:val="12241D"/>
                <w:sz w:val="17"/>
              </w:rPr>
              <w:t xml:space="preserve">Code app — </w:t>
            </w:r>
            <w:r>
              <w:rPr>
                <w:rFonts w:ascii="Calibri" w:hAnsi="Calibri"/>
                <w:color w:val="4A5350"/>
                <w:sz w:val="17"/>
              </w:rPr>
              <w:t xml:space="preserve">the booking-and-attest journey only. Three stages, pinned action bar, per-field AI state.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b/>
                <w:color w:val="12241D"/>
                <w:sz w:val="17"/>
              </w:rPr>
              <w:t xml:space="preserve">Generative page — </w:t>
            </w:r>
            <w:r>
              <w:rPr>
                <w:rFonts w:ascii="Calibri" w:hAnsi="Calibri"/>
                <w:color w:val="4A5350"/>
                <w:sz w:val="17"/>
              </w:rPr>
              <w:t xml:space="preserve">the RM glance and dashboard surface, inside the model-driven app: today and this week, pending confirmations, rooms not secured.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b/>
                <w:color w:val="12241D"/>
                <w:sz w:val="17"/>
              </w:rPr>
              <w:t xml:space="preserve">Embed — </w:t>
            </w:r>
            <w:r>
              <w:rPr>
                <w:rFonts w:ascii="Calibri" w:hAnsi="Calibri"/>
                <w:color w:val="4A5350"/>
                <w:sz w:val="17"/>
              </w:rPr>
              <w:t xml:space="preserve">analytical reporting as a Power BI report. No second metric definition for managers and compliance.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2241D"/>
                <w:sz w:val="17"/>
              </w:rPr>
              <w:t xml:space="preserve">Leave native — </w:t>
            </w:r>
            <w:r>
              <w:rPr>
                <w:rFonts w:ascii="Calibri" w:hAnsi="Calibri"/>
                <w:color w:val="4A5350"/>
                <w:sz w:val="17"/>
              </w:rPr>
              <w:t xml:space="preserve">lists, search, exports, record editing, room and slot ranking. No second store of meeting data.</w:t>
            </w:r>
          </w:p>
        </w:tc>
        <w:tc>
          <w:tcPr>
            <w:tcW w:w="5220" w:type="dxa"/>
            <w:shd w:val="clear" w:color="auto" w:fill="FAF9F6"/>
            <w:tcMar>
              <w:top w:w="140" w:type="dxa"/>
              <w:bottom w:w="140" w:type="dxa"/>
              <w:left w:w="160" w:type="dxa"/>
              <w:right w:w="120" w:type="dxa"/>
            </w:tcMar>
            <w:vAlign w:val="top"/>
          </w:tcPr>
          <w:p>
            <w:pPr>
              <w:spacing w:before="0" w:after="60" w:line="264" w:lineRule="auto"/>
            </w:pPr>
            <w:r>
              <w:rPr>
                <w:rFonts w:ascii="Calibri" w:hAnsi="Calibri"/>
                <w:b/>
                <w:color w:val="8A6A2B"/>
                <w:sz w:val="15"/>
                <w:caps/>
                <w:spacing w:val="20"/>
              </w:rPr>
              <w:t xml:space="preserve">Spike findings — generative pages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We prompted the v5 booking page as a generative page rather than argue from theory.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Result was a long scroll, not three stages with a pinned action bar — density did not hold.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No pending-versus-confirmed field state: the AI evidence chips and hover reveal did not come through.</w:t>
            </w:r>
          </w:p>
          <w:p>
            <w:pPr>
              <w:spacing w:before="0" w:after="50" w:line="264" w:lineRule="auto"/>
            </w:pPr>
            <w:r>
              <w:rPr>
                <w:rFonts w:ascii="Calibri" w:hAnsi="Calibri"/>
                <w:color w:val="4A5350"/>
                <w:sz w:val="17"/>
              </w:rPr>
              <w:t xml:space="preserve">Refining one section re-rolled others; hand edits did not reliably survive regeneration.</w:t>
            </w:r>
          </w:p>
          <w:p>
            <w:pPr>
              <w:spacing w:before="0" w:after="0" w:line="264" w:lineRule="auto"/>
            </w:pPr>
            <w:r>
              <w:rPr>
                <w:rFonts w:ascii="Calibri" w:hAnsi="Calibri"/>
                <w:b/>
                <w:color w:val="12241D"/>
                <w:sz w:val="17"/>
              </w:rPr>
              <w:t xml:space="preserve">Read: </w:t>
            </w:r>
            <w:r>
              <w:rPr>
                <w:rFonts w:ascii="Calibri" w:hAnsi="Calibri"/>
                <w:color w:val="4A5350"/>
                <w:sz w:val="17"/>
              </w:rPr>
              <w:t xml:space="preserve">right tool for a dashboard or list-and-modal page. Not for a dense multi-stage form with per-field state.</w:t>
            </w:r>
          </w:p>
        </w:tc>
      </w:tr>
    </w:tbl>
    <w:p>
      <w:pPr>
        <w:spacing w:before="0" w:after="180" w:line="264" w:lineRule="auto"/>
      </w:pPr>
    </w:p>
    <w:p>
      <w:pPr>
        <w:spacing w:before="110" w:after="50" w:line="264" w:lineRule="auto"/>
        <w:pBdr>
          <w:top w:val="single" w:sz="8" w:color="12241D"/>
        </w:pBdr>
      </w:pPr>
      <w:r>
        <w:rPr>
          <w:rFonts w:ascii="Georgia" w:hAnsi="Georgia"/>
          <w:color w:val="12241D"/>
          <w:sz w:val="25"/>
        </w:rPr>
        <w:t xml:space="preserve">What the private banker actually wants</w:t>
      </w:r>
    </w:p>
    <w:p>
      <w:pPr>
        <w:spacing w:before="0" w:after="160" w:line="264" w:lineRule="auto"/>
      </w:pPr>
      <w:r>
        <w:rPr>
          <w:rFonts w:ascii="Calibri" w:hAnsi="Calibri"/>
          <w:color w:val="4A5350"/>
          <w:sz w:val="18"/>
        </w:rPr>
        <w:t xml:space="preserve">Fewer clicks, and one page that shows the state of play at a glance — who the client is, when the meeting is, which room, who else is coming, and what still needs a decision. That is the whole test. Any option that meets it is worth building; any option that adds a second screen, a second system to check, or a form to scroll has already failed it.</w:t>
      </w:r>
    </w:p>
    <w:p>
      <w:pPr>
        <w:spacing w:before="70" w:after="80" w:line="264" w:lineRule="auto"/>
        <w:pBdr>
          <w:top w:val="single" w:sz="8" w:color="E3E2DC"/>
        </w:pBdr>
      </w:pPr>
      <w:r>
        <w:rPr>
          <w:rFonts w:ascii="Calibri" w:hAnsi="Calibri"/>
          <w:color w:val="8B938C"/>
          <w:sz w:val="15"/>
        </w:rPr>
        <w:t xml:space="preserve">[Bank name] · Technology &amp; Private Bank        Owner: [Owner]</w:t>
      </w:r>
    </w:p>
    <w:sectPr>
      <w:pgSz w:w="12240" w:h="15840"/>
      <w:pgMar w:top="850" w:right="900" w:bottom="850" w:left="900" w:header="0" w:footer="0" w:gutter="0"/>
    </w:sectPr>
  </w:body>
</w:document>
</file>