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SSL Certificate Check</w:t>
      </w:r>
    </w:p>
    <w:p>
      <w:r>
        <w:t>Generated: 2026-02-28 09:22:38</w:t>
      </w:r>
    </w:p>
    <w:p>
      <w:r>
        <w:t>Status: SUCCESS</w:t>
      </w:r>
    </w:p>
    <w:p>
      <w:r>
        <w:t>Output:</w:t>
        <w:br/>
        <w:t>Host: confluence.opentext.com</w:t>
        <w:br/>
        <w:t>Valid: True | Secure: False</w:t>
        <w:br/>
        <w:t>Issued to: confluence.opentext.com (Open Text Corporation)</w:t>
        <w:br/>
        <w:t>Issued by: Sectigo RSA Organization Validation Secure Server CA</w:t>
        <w:br/>
        <w:t>Valid from 10 Apr 2025 to 10 Apr 2026 (41d remaining)</w:t>
        <w:br/>
        <w:t>Protocol: TLSv1.2 | Cipher: ECDHE-RSA-AES256-GCM-SHA384</w:t>
        <w:br/>
        <w:t>Expired: False</w:t>
      </w:r>
    </w:p>
    <w:p>
      <w:r>
        <w:drawing>
          <wp:inline xmlns:a="http://schemas.openxmlformats.org/drawingml/2006/main" xmlns:pic="http://schemas.openxmlformats.org/drawingml/2006/picture">
            <wp:extent cx="13970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