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6"/>
          <w:szCs w:val="36"/>
        </w:rPr>
      </w:pPr>
      <w:r w:rsidDel="00000000" w:rsidR="00000000" w:rsidRPr="00000000">
        <w:rPr>
          <w:b w:val="1"/>
          <w:sz w:val="36"/>
          <w:szCs w:val="36"/>
          <w:rtl w:val="0"/>
        </w:rPr>
        <w:t xml:space="preserve">BOLD5000, a public fMRI dataset</w:t>
      </w:r>
    </w:p>
    <w:p w:rsidR="00000000" w:rsidDel="00000000" w:rsidP="00000000" w:rsidRDefault="00000000" w:rsidRPr="00000000" w14:paraId="00000002">
      <w:pPr>
        <w:spacing w:line="276" w:lineRule="auto"/>
        <w:rPr>
          <w:b w:val="1"/>
          <w:sz w:val="36"/>
          <w:szCs w:val="36"/>
        </w:rPr>
      </w:pPr>
      <w:r w:rsidDel="00000000" w:rsidR="00000000" w:rsidRPr="00000000">
        <w:rPr>
          <w:rtl w:val="0"/>
        </w:rPr>
      </w:r>
    </w:p>
    <w:p w:rsidR="00000000" w:rsidDel="00000000" w:rsidP="00000000" w:rsidRDefault="00000000" w:rsidRPr="00000000" w14:paraId="00000003">
      <w:pPr>
        <w:spacing w:line="276" w:lineRule="auto"/>
        <w:rPr>
          <w:sz w:val="28"/>
          <w:szCs w:val="28"/>
        </w:rPr>
      </w:pPr>
      <w:r w:rsidDel="00000000" w:rsidR="00000000" w:rsidRPr="00000000">
        <w:rPr>
          <w:sz w:val="28"/>
          <w:szCs w:val="28"/>
          <w:rtl w:val="0"/>
        </w:rPr>
        <w:t xml:space="preserve">BOLD5000 is a large-scale publicly available dataset of practical study of human FMRI with 5000 real-world images as stimuli, which also accounts for image diversity and overlapping with standard computer vision datasets by incorporating images from the Scene Understanding (SUN), Common Objects in Context (COCO), and ImageNet datasets. As the different stimuli will create different neural signals in the visual cortex and this naturalness along with the large diversity of different stimuli with the neural representation of a wide range of visual features makes BOLD5000 an ideal dataset for the different parameters and with computational models to analyze different stimuli along with correlation in the visual cortex.</w:t>
      </w:r>
    </w:p>
    <w:p w:rsidR="00000000" w:rsidDel="00000000" w:rsidP="00000000" w:rsidRDefault="00000000" w:rsidRPr="00000000" w14:paraId="00000004">
      <w:pPr>
        <w:spacing w:line="276" w:lineRule="auto"/>
        <w:rPr>
          <w:sz w:val="28"/>
          <w:szCs w:val="28"/>
        </w:rPr>
      </w:pPr>
      <w:r w:rsidDel="00000000" w:rsidR="00000000" w:rsidRPr="00000000">
        <w:rPr>
          <w:rtl w:val="0"/>
        </w:rPr>
      </w:r>
    </w:p>
    <w:p w:rsidR="00000000" w:rsidDel="00000000" w:rsidP="00000000" w:rsidRDefault="00000000" w:rsidRPr="00000000" w14:paraId="00000005">
      <w:pPr>
        <w:spacing w:line="276" w:lineRule="auto"/>
        <w:rPr>
          <w:b w:val="1"/>
          <w:sz w:val="42"/>
          <w:szCs w:val="42"/>
        </w:rPr>
      </w:pPr>
      <w:r w:rsidDel="00000000" w:rsidR="00000000" w:rsidRPr="00000000">
        <w:rPr>
          <w:b w:val="1"/>
          <w:sz w:val="42"/>
          <w:szCs w:val="42"/>
          <w:rtl w:val="0"/>
        </w:rPr>
        <w:t xml:space="preserve">DNN BRAIN</w:t>
      </w:r>
    </w:p>
    <w:p w:rsidR="00000000" w:rsidDel="00000000" w:rsidP="00000000" w:rsidRDefault="00000000" w:rsidRPr="00000000" w14:paraId="00000006">
      <w:pPr>
        <w:spacing w:line="276" w:lineRule="auto"/>
        <w:rPr>
          <w:rFonts w:ascii="Georgia" w:cs="Georgia" w:eastAsia="Georgia" w:hAnsi="Georgia"/>
          <w:color w:val="3e3d40"/>
          <w:sz w:val="30"/>
          <w:szCs w:val="30"/>
          <w:highlight w:val="white"/>
        </w:rPr>
      </w:pPr>
      <w:r w:rsidDel="00000000" w:rsidR="00000000" w:rsidRPr="00000000">
        <w:rPr>
          <w:rtl w:val="0"/>
        </w:rPr>
      </w:r>
    </w:p>
    <w:p w:rsidR="00000000" w:rsidDel="00000000" w:rsidP="00000000" w:rsidRDefault="00000000" w:rsidRPr="00000000" w14:paraId="00000007">
      <w:pPr>
        <w:spacing w:line="276" w:lineRule="auto"/>
        <w:rPr>
          <w:color w:val="3e3d40"/>
          <w:sz w:val="28"/>
          <w:szCs w:val="28"/>
          <w:highlight w:val="white"/>
        </w:rPr>
      </w:pPr>
      <w:r w:rsidDel="00000000" w:rsidR="00000000" w:rsidRPr="00000000">
        <w:rPr>
          <w:color w:val="3e3d40"/>
          <w:sz w:val="28"/>
          <w:szCs w:val="28"/>
          <w:highlight w:val="white"/>
          <w:rtl w:val="0"/>
        </w:rPr>
        <w:t xml:space="preserve">DNNBrain is a unifying toolbox to integrate DNN software packages </w:t>
      </w:r>
    </w:p>
    <w:p w:rsidR="00000000" w:rsidDel="00000000" w:rsidP="00000000" w:rsidRDefault="00000000" w:rsidRPr="00000000" w14:paraId="00000008">
      <w:pPr>
        <w:spacing w:line="276" w:lineRule="auto"/>
        <w:rPr>
          <w:color w:val="3e3d40"/>
          <w:sz w:val="28"/>
          <w:szCs w:val="28"/>
          <w:highlight w:val="white"/>
        </w:rPr>
      </w:pPr>
      <w:r w:rsidDel="00000000" w:rsidR="00000000" w:rsidRPr="00000000">
        <w:rPr>
          <w:color w:val="3e3d40"/>
          <w:sz w:val="28"/>
          <w:szCs w:val="28"/>
          <w:highlight w:val="white"/>
          <w:rtl w:val="0"/>
        </w:rPr>
        <w:t xml:space="preserve">and well-established brain mapping tools for exploring the internal representations of DNNs along with Brains with the Integration of DNN software package and well-established brain imaging tools. Which includes extracting DNN activation, probing, and visualizing DNN representations, and mapping DNN representations onto the brain.</w:t>
      </w:r>
    </w:p>
    <w:p w:rsidR="00000000" w:rsidDel="00000000" w:rsidP="00000000" w:rsidRDefault="00000000" w:rsidRPr="00000000" w14:paraId="00000009">
      <w:pPr>
        <w:spacing w:line="276" w:lineRule="auto"/>
        <w:rPr>
          <w:color w:val="3e3d40"/>
          <w:sz w:val="28"/>
          <w:szCs w:val="28"/>
          <w:highlight w:val="white"/>
        </w:rPr>
      </w:pPr>
      <w:r w:rsidDel="00000000" w:rsidR="00000000" w:rsidRPr="00000000">
        <w:rPr>
          <w:rtl w:val="0"/>
        </w:rPr>
      </w:r>
    </w:p>
    <w:p w:rsidR="00000000" w:rsidDel="00000000" w:rsidP="00000000" w:rsidRDefault="00000000" w:rsidRPr="00000000" w14:paraId="0000000A">
      <w:pPr>
        <w:spacing w:line="276" w:lineRule="auto"/>
        <w:rPr>
          <w:color w:val="3e3d40"/>
          <w:sz w:val="28"/>
          <w:szCs w:val="28"/>
          <w:highlight w:val="white"/>
        </w:rPr>
      </w:pPr>
      <w:r w:rsidDel="00000000" w:rsidR="00000000" w:rsidRPr="00000000">
        <w:rPr>
          <w:color w:val="3e3d40"/>
          <w:sz w:val="28"/>
          <w:szCs w:val="28"/>
          <w:highlight w:val="white"/>
          <w:rtl w:val="0"/>
        </w:rPr>
        <w:t xml:space="preserve">By assembling diverse stimuli, artificial activity data, and biological neural activity data together with custom-designed auxiliary IO files, and using DNNBrain allows users to easily characterize, compare, and visualize representations of DNNs and brains.</w:t>
      </w:r>
    </w:p>
    <w:p w:rsidR="00000000" w:rsidDel="00000000" w:rsidP="00000000" w:rsidRDefault="00000000" w:rsidRPr="00000000" w14:paraId="0000000B">
      <w:pPr>
        <w:spacing w:line="276" w:lineRule="auto"/>
        <w:rPr>
          <w:color w:val="3e3d40"/>
          <w:sz w:val="28"/>
          <w:szCs w:val="28"/>
          <w:highlight w:val="white"/>
        </w:rPr>
      </w:pPr>
      <w:r w:rsidDel="00000000" w:rsidR="00000000" w:rsidRPr="00000000">
        <w:rPr>
          <w:color w:val="3e3d40"/>
          <w:sz w:val="28"/>
          <w:szCs w:val="28"/>
          <w:highlight w:val="white"/>
          <w:rtl w:val="0"/>
        </w:rPr>
        <w:t xml:space="preserve">The toolbox consist of four modules:</w:t>
      </w:r>
    </w:p>
    <w:p w:rsidR="00000000" w:rsidDel="00000000" w:rsidP="00000000" w:rsidRDefault="00000000" w:rsidRPr="00000000" w14:paraId="0000000C">
      <w:pPr>
        <w:spacing w:line="276" w:lineRule="auto"/>
        <w:rPr>
          <w:rFonts w:ascii="Georgia" w:cs="Georgia" w:eastAsia="Georgia" w:hAnsi="Georgia"/>
          <w:color w:val="3e3d40"/>
          <w:sz w:val="28"/>
          <w:szCs w:val="28"/>
          <w:highlight w:val="white"/>
        </w:rPr>
      </w:pPr>
      <w:r w:rsidDel="00000000" w:rsidR="00000000" w:rsidRPr="00000000">
        <w:rPr>
          <w:rtl w:val="0"/>
        </w:rPr>
      </w:r>
    </w:p>
    <w:tbl>
      <w:tblPr>
        <w:tblStyle w:val="Table1"/>
        <w:tblW w:w="9039.6725243781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3060"/>
        <w:gridCol w:w="5319.672524378162"/>
        <w:tblGridChange w:id="0">
          <w:tblGrid>
            <w:gridCol w:w="660"/>
            <w:gridCol w:w="3060"/>
            <w:gridCol w:w="5319.672524378162"/>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e3d40"/>
                <w:sz w:val="28"/>
                <w:szCs w:val="28"/>
                <w:highlight w:val="white"/>
              </w:rPr>
            </w:pPr>
            <w:r w:rsidDel="00000000" w:rsidR="00000000" w:rsidRPr="00000000">
              <w:rPr>
                <w:color w:val="3e3d40"/>
                <w:sz w:val="28"/>
                <w:szCs w:val="28"/>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3e3d40"/>
                <w:sz w:val="28"/>
                <w:szCs w:val="28"/>
                <w:highlight w:val="white"/>
              </w:rPr>
            </w:pPr>
            <w:r w:rsidDel="00000000" w:rsidR="00000000" w:rsidRPr="00000000">
              <w:rPr>
                <w:color w:val="3e3d40"/>
                <w:sz w:val="28"/>
                <w:szCs w:val="28"/>
                <w:highlight w:val="white"/>
                <w:rtl w:val="0"/>
              </w:rPr>
              <w:t xml:space="preserve">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e3d40"/>
                <w:sz w:val="28"/>
                <w:szCs w:val="28"/>
                <w:highlight w:val="white"/>
              </w:rPr>
            </w:pPr>
            <w:r w:rsidDel="00000000" w:rsidR="00000000" w:rsidRPr="00000000">
              <w:rPr>
                <w:color w:val="3e3d40"/>
                <w:sz w:val="28"/>
                <w:szCs w:val="28"/>
                <w:highlight w:val="white"/>
                <w:rtl w:val="0"/>
              </w:rPr>
              <w:t xml:space="preserve">Works and properties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color w:val="3e3d40"/>
                <w:sz w:val="28"/>
                <w:szCs w:val="28"/>
                <w:highlight w:val="white"/>
              </w:rPr>
            </w:pPr>
            <w:r w:rsidDel="00000000" w:rsidR="00000000" w:rsidRPr="00000000">
              <w:rPr>
                <w:color w:val="3e3d40"/>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color w:val="3e3d40"/>
                <w:sz w:val="28"/>
                <w:szCs w:val="28"/>
                <w:highlight w:val="white"/>
              </w:rPr>
            </w:pPr>
            <w:r w:rsidDel="00000000" w:rsidR="00000000" w:rsidRPr="00000000">
              <w:rPr>
                <w:color w:val="3e3d40"/>
                <w:sz w:val="28"/>
                <w:szCs w:val="28"/>
                <w:highlight w:val="white"/>
                <w:rtl w:val="0"/>
              </w:rPr>
              <w:t xml:space="preserve">IO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color w:val="3e3d40"/>
                <w:sz w:val="28"/>
                <w:szCs w:val="28"/>
                <w:highlight w:val="white"/>
              </w:rPr>
            </w:pPr>
            <w:r w:rsidDel="00000000" w:rsidR="00000000" w:rsidRPr="00000000">
              <w:rPr>
                <w:color w:val="3e3d40"/>
                <w:sz w:val="28"/>
                <w:szCs w:val="28"/>
                <w:highlight w:val="white"/>
                <w:rtl w:val="0"/>
              </w:rPr>
              <w:t xml:space="preserve"> Provides facilities for managing file-related input and output operations.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e3d40"/>
                <w:sz w:val="28"/>
                <w:szCs w:val="28"/>
                <w:highlight w:val="white"/>
              </w:rPr>
            </w:pPr>
            <w:r w:rsidDel="00000000" w:rsidR="00000000" w:rsidRPr="00000000">
              <w:rPr>
                <w:color w:val="3e3d40"/>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rPr>
                <w:color w:val="3e3d40"/>
                <w:sz w:val="28"/>
                <w:szCs w:val="28"/>
                <w:highlight w:val="white"/>
              </w:rPr>
            </w:pPr>
            <w:r w:rsidDel="00000000" w:rsidR="00000000" w:rsidRPr="00000000">
              <w:rPr>
                <w:color w:val="3e3d40"/>
                <w:sz w:val="28"/>
                <w:szCs w:val="28"/>
                <w:highlight w:val="white"/>
                <w:rtl w:val="0"/>
              </w:rPr>
              <w:t xml:space="preserve">Base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76" w:lineRule="auto"/>
              <w:rPr>
                <w:color w:val="3e3d40"/>
                <w:sz w:val="28"/>
                <w:szCs w:val="28"/>
                <w:highlight w:val="white"/>
              </w:rPr>
            </w:pPr>
            <w:r w:rsidDel="00000000" w:rsidR="00000000" w:rsidRPr="00000000">
              <w:rPr>
                <w:color w:val="3e3d40"/>
                <w:sz w:val="28"/>
                <w:szCs w:val="28"/>
                <w:highlight w:val="white"/>
                <w:rtl w:val="0"/>
              </w:rPr>
              <w:t xml:space="preserve"> Defines the base-level classes for array computing and data transforming.</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e3d40"/>
                <w:sz w:val="28"/>
                <w:szCs w:val="28"/>
                <w:highlight w:val="white"/>
              </w:rPr>
            </w:pPr>
            <w:r w:rsidDel="00000000" w:rsidR="00000000" w:rsidRPr="00000000">
              <w:rPr>
                <w:color w:val="3e3d40"/>
                <w:sz w:val="28"/>
                <w:szCs w:val="2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76" w:lineRule="auto"/>
              <w:rPr>
                <w:color w:val="3e3d40"/>
                <w:sz w:val="28"/>
                <w:szCs w:val="28"/>
                <w:highlight w:val="white"/>
              </w:rPr>
            </w:pPr>
            <w:r w:rsidDel="00000000" w:rsidR="00000000" w:rsidRPr="00000000">
              <w:rPr>
                <w:color w:val="3e3d40"/>
                <w:sz w:val="28"/>
                <w:szCs w:val="28"/>
                <w:highlight w:val="white"/>
                <w:rtl w:val="0"/>
              </w:rPr>
              <w:t xml:space="preserve">Models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76" w:lineRule="auto"/>
              <w:rPr>
                <w:color w:val="3e3d40"/>
                <w:sz w:val="28"/>
                <w:szCs w:val="28"/>
                <w:highlight w:val="white"/>
              </w:rPr>
            </w:pPr>
            <w:r w:rsidDel="00000000" w:rsidR="00000000" w:rsidRPr="00000000">
              <w:rPr>
                <w:color w:val="3e3d40"/>
                <w:sz w:val="28"/>
                <w:szCs w:val="28"/>
                <w:highlight w:val="white"/>
                <w:rtl w:val="0"/>
              </w:rPr>
              <w:t xml:space="preserve">holds a variety of DNN models.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e3d40"/>
                <w:sz w:val="28"/>
                <w:szCs w:val="28"/>
                <w:highlight w:val="white"/>
              </w:rPr>
            </w:pPr>
            <w:r w:rsidDel="00000000" w:rsidR="00000000" w:rsidRPr="00000000">
              <w:rPr>
                <w:color w:val="3e3d40"/>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rPr>
                <w:color w:val="3e3d40"/>
                <w:sz w:val="28"/>
                <w:szCs w:val="28"/>
                <w:highlight w:val="white"/>
              </w:rPr>
            </w:pPr>
            <w:r w:rsidDel="00000000" w:rsidR="00000000" w:rsidRPr="00000000">
              <w:rPr>
                <w:color w:val="3e3d40"/>
                <w:sz w:val="28"/>
                <w:szCs w:val="28"/>
                <w:highlight w:val="white"/>
                <w:rtl w:val="0"/>
              </w:rPr>
              <w:t xml:space="preserve">Algorithm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rPr>
                <w:color w:val="3e3d40"/>
                <w:sz w:val="28"/>
                <w:szCs w:val="28"/>
                <w:highlight w:val="white"/>
              </w:rPr>
            </w:pPr>
            <w:r w:rsidDel="00000000" w:rsidR="00000000" w:rsidRPr="00000000">
              <w:rPr>
                <w:color w:val="3e3d40"/>
                <w:sz w:val="28"/>
                <w:szCs w:val="28"/>
                <w:highlight w:val="white"/>
                <w:rtl w:val="0"/>
              </w:rPr>
              <w:t xml:space="preserve">defines various algorithms for exploring DNNs and the brain.</w:t>
            </w:r>
          </w:p>
        </w:tc>
      </w:tr>
    </w:tbl>
    <w:p w:rsidR="00000000" w:rsidDel="00000000" w:rsidP="00000000" w:rsidRDefault="00000000" w:rsidRPr="00000000" w14:paraId="0000001C">
      <w:pPr>
        <w:spacing w:line="276" w:lineRule="auto"/>
        <w:rPr>
          <w:rFonts w:ascii="Georgia" w:cs="Georgia" w:eastAsia="Georgia" w:hAnsi="Georgia"/>
          <w:color w:val="3e3d40"/>
          <w:sz w:val="30"/>
          <w:szCs w:val="30"/>
          <w:highlight w:val="white"/>
        </w:rPr>
      </w:pPr>
      <w:r w:rsidDel="00000000" w:rsidR="00000000" w:rsidRPr="00000000">
        <w:rPr>
          <w:rtl w:val="0"/>
        </w:rPr>
      </w:r>
    </w:p>
    <w:p w:rsidR="00000000" w:rsidDel="00000000" w:rsidP="00000000" w:rsidRDefault="00000000" w:rsidRPr="00000000" w14:paraId="0000001D">
      <w:pPr>
        <w:shd w:fill="ffffff" w:val="clear"/>
        <w:spacing w:after="160" w:line="373.33333333333337" w:lineRule="auto"/>
        <w:rPr>
          <w:color w:val="3e3d40"/>
          <w:sz w:val="28"/>
          <w:szCs w:val="28"/>
          <w:highlight w:val="white"/>
        </w:rPr>
      </w:pPr>
      <w:r w:rsidDel="00000000" w:rsidR="00000000" w:rsidRPr="00000000">
        <w:rPr>
          <w:color w:val="3e3d40"/>
          <w:sz w:val="28"/>
          <w:szCs w:val="28"/>
          <w:highlight w:val="white"/>
          <w:rtl w:val="0"/>
        </w:rPr>
        <w:t xml:space="preserve">The primary aim of DNNBrain is to provide a framework that on implementation provides internal representations of DNNs and brains with similarities between them. For this DNNBrain integrates a diverse range of tools such as encoding/decoding models to reveal stimuli or behavioral relevance of the representations, along with mapping DNNs representations to those of brains, representational similarity analysis (RSA) between DNNs and brains, visualizing DNN representation.  This transferred learning will accelerate scientific research by both applying DNNs to model biological neural systems and utilizing paradigms of cognitive neuroscience to unveil the black box of DNNs.</w:t>
      </w:r>
    </w:p>
    <w:p w:rsidR="00000000" w:rsidDel="00000000" w:rsidP="00000000" w:rsidRDefault="00000000" w:rsidRPr="00000000" w14:paraId="0000001E">
      <w:pPr>
        <w:shd w:fill="ffffff" w:val="clear"/>
        <w:spacing w:after="160" w:line="373.33333333333337" w:lineRule="auto"/>
        <w:rPr>
          <w:color w:val="3e3d40"/>
          <w:sz w:val="28"/>
          <w:szCs w:val="28"/>
          <w:highlight w:val="white"/>
        </w:rPr>
      </w:pPr>
      <w:r w:rsidDel="00000000" w:rsidR="00000000" w:rsidRPr="00000000">
        <w:rPr>
          <w:color w:val="3e3d40"/>
          <w:sz w:val="28"/>
          <w:szCs w:val="28"/>
          <w:highlight w:val="white"/>
          <w:rtl w:val="0"/>
        </w:rPr>
        <w:t xml:space="preserve">Reference:</w:t>
      </w:r>
    </w:p>
    <w:p w:rsidR="00000000" w:rsidDel="00000000" w:rsidP="00000000" w:rsidRDefault="00000000" w:rsidRPr="00000000" w14:paraId="0000001F">
      <w:pPr>
        <w:pStyle w:val="Heading1"/>
        <w:keepNext w:val="0"/>
        <w:keepLines w:val="0"/>
        <w:numPr>
          <w:ilvl w:val="0"/>
          <w:numId w:val="1"/>
        </w:numPr>
        <w:shd w:fill="ffffff" w:val="clear"/>
        <w:spacing w:after="0" w:afterAutospacing="0" w:before="460" w:lineRule="auto"/>
        <w:ind w:left="720" w:hanging="360"/>
        <w:rPr>
          <w:rFonts w:ascii="Georgia" w:cs="Georgia" w:eastAsia="Georgia" w:hAnsi="Georgia"/>
          <w:color w:val="020202"/>
          <w:sz w:val="26"/>
          <w:szCs w:val="26"/>
          <w:highlight w:val="white"/>
          <w:u w:val="none"/>
        </w:rPr>
      </w:pPr>
      <w:bookmarkStart w:colFirst="0" w:colLast="0" w:name="_m9e5ljjp0yq" w:id="0"/>
      <w:bookmarkEnd w:id="0"/>
      <w:r w:rsidDel="00000000" w:rsidR="00000000" w:rsidRPr="00000000">
        <w:rPr>
          <w:color w:val="020202"/>
          <w:sz w:val="26"/>
          <w:szCs w:val="26"/>
          <w:highlight w:val="white"/>
          <w:rtl w:val="0"/>
        </w:rPr>
        <w:t xml:space="preserve">DNNBrain: A Unifying Toolbox for Mapping Deep Neural Networks and Brains (</w:t>
      </w:r>
      <w:hyperlink r:id="rId6">
        <w:r w:rsidDel="00000000" w:rsidR="00000000" w:rsidRPr="00000000">
          <w:rPr>
            <w:color w:val="d54449"/>
            <w:sz w:val="26"/>
            <w:szCs w:val="26"/>
            <w:highlight w:val="white"/>
            <w:rtl w:val="0"/>
          </w:rPr>
          <w:t xml:space="preserve">https://doi.org/10.3389/fncom.2020.580632</w:t>
        </w:r>
      </w:hyperlink>
      <w:r w:rsidDel="00000000" w:rsidR="00000000" w:rsidRPr="00000000">
        <w:rPr>
          <w:color w:val="020202"/>
          <w:sz w:val="26"/>
          <w:szCs w:val="26"/>
          <w:highlight w:val="white"/>
          <w:rtl w:val="0"/>
        </w:rPr>
        <w:t xml:space="preserve"> )</w:t>
      </w:r>
    </w:p>
    <w:p w:rsidR="00000000" w:rsidDel="00000000" w:rsidP="00000000" w:rsidRDefault="00000000" w:rsidRPr="00000000" w14:paraId="00000020">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ind w:left="720" w:hanging="360"/>
        <w:rPr>
          <w:sz w:val="26"/>
          <w:szCs w:val="26"/>
        </w:rPr>
      </w:pPr>
      <w:bookmarkStart w:colFirst="0" w:colLast="0" w:name="_ade94r48zu0h" w:id="1"/>
      <w:bookmarkEnd w:id="1"/>
      <w:r w:rsidDel="00000000" w:rsidR="00000000" w:rsidRPr="00000000">
        <w:rPr>
          <w:color w:val="222222"/>
          <w:sz w:val="26"/>
          <w:szCs w:val="26"/>
          <w:rtl w:val="0"/>
        </w:rPr>
        <w:t xml:space="preserve">BOLD5000, a public fMRI dataset while viewing 5000 visual images</w:t>
      </w:r>
      <w:r w:rsidDel="00000000" w:rsidR="00000000" w:rsidRPr="00000000">
        <w:rPr>
          <w:b w:val="1"/>
          <w:color w:val="222222"/>
          <w:sz w:val="26"/>
          <w:szCs w:val="26"/>
          <w:rtl w:val="0"/>
        </w:rPr>
        <w:t xml:space="preserve"> </w:t>
      </w:r>
      <w:r w:rsidDel="00000000" w:rsidR="00000000" w:rsidRPr="00000000">
        <w:rPr>
          <w:color w:val="222222"/>
          <w:sz w:val="26"/>
          <w:szCs w:val="26"/>
          <w:rtl w:val="0"/>
        </w:rPr>
        <w:t xml:space="preserve">(</w:t>
      </w:r>
      <w:hyperlink r:id="rId7">
        <w:r w:rsidDel="00000000" w:rsidR="00000000" w:rsidRPr="00000000">
          <w:rPr>
            <w:color w:val="1155cc"/>
            <w:sz w:val="26"/>
            <w:szCs w:val="26"/>
            <w:u w:val="single"/>
            <w:rtl w:val="0"/>
          </w:rPr>
          <w:t xml:space="preserve">https://www.nature.com/articles/s41597-019-0052-3</w:t>
        </w:r>
      </w:hyperlink>
      <w:r w:rsidDel="00000000" w:rsidR="00000000" w:rsidRPr="00000000">
        <w:rPr>
          <w:color w:val="222222"/>
          <w:sz w:val="26"/>
          <w:szCs w:val="26"/>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3389/fncom.2020.580632" TargetMode="External"/><Relationship Id="rId7" Type="http://schemas.openxmlformats.org/officeDocument/2006/relationships/hyperlink" Target="https://www.nature.com/articles/s41597-019-00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