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 Implementation Questionnaire — UAE / Qatar</w:t>
      </w:r>
    </w:p>
    <w:p>
      <w:r>
        <w:rPr>
          <w:sz w:val="20"/>
        </w:rPr>
        <w:t>Generated: 2026-07-14 | IST Health Implementation Framework</w:t>
      </w:r>
    </w:p>
    <w:p>
      <w:pPr>
        <w:pStyle w:val="Heading1"/>
      </w:pPr>
      <w:r>
        <w:t>A. Organization</w:t>
      </w:r>
    </w:p>
    <w:p>
      <w:r>
        <w:t>Legal entities, trade names (synthetic OK for pilots), countries of operation, primary facilities, reporting currency.</w:t>
      </w:r>
    </w:p>
    <w:p>
      <w:pPr>
        <w:pStyle w:val="Heading1"/>
      </w:pPr>
      <w:r>
        <w:t>B. Facilities</w:t>
      </w:r>
    </w:p>
    <w:p>
      <w:r>
        <w:t>Hospitals/clinics/labs/pharmacies counts; emirate/municipality; bed capacity; operating hours; bilingual requirements.</w:t>
      </w:r>
    </w:p>
    <w:p>
      <w:pPr>
        <w:pStyle w:val="Heading1"/>
      </w:pPr>
      <w:r>
        <w:t>C. Clinical scope</w:t>
      </w:r>
    </w:p>
    <w:p>
      <w:r>
        <w:t>Outpatient, inpatient, ED, surgery, ICU, maternity, pediatrics, dental, ophthalmology — in/out of scope.</w:t>
      </w:r>
    </w:p>
    <w:p>
      <w:pPr>
        <w:pStyle w:val="Heading1"/>
      </w:pPr>
      <w:r>
        <w:t>D. Laboratory &amp; imaging</w:t>
      </w:r>
    </w:p>
    <w:p>
      <w:r>
        <w:t>In-house vs outsourced; analyzers; PACS/Orthanc interest; worklist needs.</w:t>
      </w:r>
    </w:p>
    <w:p>
      <w:pPr>
        <w:pStyle w:val="Heading1"/>
      </w:pPr>
      <w:r>
        <w:t>E. Pharmacy &amp; stock</w:t>
      </w:r>
    </w:p>
    <w:p>
      <w:r>
        <w:t>Formulary source; narcotics controls; warehouse topology.</w:t>
      </w:r>
    </w:p>
    <w:p>
      <w:pPr>
        <w:pStyle w:val="Heading1"/>
      </w:pPr>
      <w:r>
        <w:t>F. Users &amp; roles</w:t>
      </w:r>
    </w:p>
    <w:p>
      <w:r>
        <w:t>Approximate counts per role; shift patterns; shared workstation policy.</w:t>
      </w:r>
    </w:p>
    <w:p>
      <w:pPr>
        <w:pStyle w:val="Heading1"/>
      </w:pPr>
      <w:r>
        <w:t>G. Identity &amp; privacy</w:t>
      </w:r>
    </w:p>
    <w:p>
      <w:r>
        <w:t>Will national IDs be stored? Consent model? Retention period? Cross-border access? — legal confirmation required.</w:t>
      </w:r>
    </w:p>
    <w:p>
      <w:pPr>
        <w:pStyle w:val="Heading1"/>
      </w:pPr>
      <w:r>
        <w:t>H. Interoperability</w:t>
      </w:r>
    </w:p>
    <w:p>
      <w:r>
        <w:t>NABIDH / Malaffi / Riayati / Qatar HIE obligations known? HL7/FHIR/DICOM already in use?</w:t>
      </w:r>
    </w:p>
    <w:p>
      <w:pPr>
        <w:pStyle w:val="Heading1"/>
      </w:pPr>
      <w:r>
        <w:t>I. Billing &amp; insurance</w:t>
      </w:r>
    </w:p>
    <w:p>
      <w:r>
        <w:t>Payers; claims platforms; cash vs insurance mix — confirm regulatory claims interfaces.</w:t>
      </w:r>
    </w:p>
    <w:p>
      <w:pPr>
        <w:pStyle w:val="Heading1"/>
      </w:pPr>
      <w:r>
        <w:t>J. Non-functional</w:t>
      </w:r>
    </w:p>
    <w:p>
      <w:r>
        <w:t>Expected concurrent users; RPO/RTO; languages; mobile needs; reporting.</w:t>
      </w:r>
    </w:p>
    <w:p>
      <w:pPr>
        <w:pStyle w:val="Heading1"/>
      </w:pPr>
      <w:r>
        <w:t>K. Environments</w:t>
      </w:r>
    </w:p>
    <w:p>
      <w:r>
        <w:t>Who may access prod? Synthetic data policy acknowledgement.</w:t>
      </w:r>
    </w:p>
    <w:p>
      <w:pPr>
        <w:pStyle w:val="Heading1"/>
      </w:pPr>
      <w:r>
        <w:t>Sign-off</w:t>
      </w:r>
    </w:p>
    <w:p>
      <w:r>
        <w:t>Completed by / date / clinical lead / compliance /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