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Level Design (HLD)</w:t>
      </w:r>
    </w:p>
    <w:p>
      <w:r>
        <w:t>Purpose: Define system-wide architecture and technology choices.</w:t>
      </w:r>
    </w:p>
    <w:p>
      <w:pPr>
        <w:pStyle w:val="Heading2"/>
      </w:pPr>
      <w:r>
        <w:t>1. System Overview</w:t>
      </w:r>
    </w:p>
    <w:p>
      <w:r>
        <w:t>The legacy IBM mainframe COBOL-based banking system is migrated to a Java 21 Spring Boot microservices architecture using Spring Batch.</w:t>
      </w:r>
    </w:p>
    <w:p>
      <w:pPr>
        <w:pStyle w:val="Heading2"/>
      </w:pPr>
      <w:r>
        <w:t>2. Architecture Layers</w:t>
      </w:r>
    </w:p>
    <w:p>
      <w:r>
        <w:t>- Presentation Layer (REST APIs)</w:t>
        <w:br/>
        <w:t>- Batch Processing Layer (Spring Batch)</w:t>
        <w:br/>
        <w:t>- Business Services Layer</w:t>
        <w:br/>
        <w:t>- Data Access Layer (JPA)</w:t>
        <w:br/>
        <w:t>- Database Layer (PostgreSQL)</w:t>
        <w:br/>
        <w:t>- Deployment Layer (Docker + Kubernetes)</w:t>
      </w:r>
    </w:p>
    <w:p>
      <w:pPr>
        <w:pStyle w:val="Heading2"/>
      </w:pPr>
      <w:r>
        <w:t>3. Non-Functional Requirements</w:t>
      </w:r>
    </w:p>
    <w:p>
      <w:r>
        <w:t>- Scalability via Kubernetes</w:t>
        <w:br/>
        <w:t>- High availability (replicas)</w:t>
        <w:br/>
        <w:t>- Audit &amp; compliance (PCI-DSS, SOX)</w:t>
        <w:br/>
        <w:t>- Security via Spring Security and TLS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