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80"/>
        <w:jc w:val="center"/>
      </w:pPr>
      <w:r>
        <w:rPr>
          <w:rFonts w:ascii="Calibri" w:cs="Calibri" w:eastAsia="Calibri" w:hAnsi="Calibri"/>
          <w:b/>
          <w:bCs/>
          <w:caps/>
          <w:color w:val="5F5E5A"/>
          <w:sz w:val="36"/>
          <w:szCs w:val="36"/>
        </w:rPr>
        <w:t xml:space="preserve">EXECUTIVE SUMMARY</w:t>
      </w:r>
    </w:p>
    <w:p>
      <w:pPr>
        <w:spacing w:after="80" w:before="40"/>
        <w:jc w:val="center"/>
      </w:pPr>
      <w:r>
        <w:rPr>
          <w:rFonts w:ascii="Calibri" w:cs="Calibri" w:eastAsia="Calibri" w:hAnsi="Calibri"/>
          <w:b/>
          <w:bCs/>
          <w:color w:val="0C447C"/>
          <w:sz w:val="30"/>
          <w:szCs w:val="30"/>
        </w:rPr>
        <w:t xml:space="preserve">Customer Engagement &amp; Product Utilization Analytics for Retention Strategy</w:t>
      </w:r>
    </w:p>
    <w:p>
      <w:pPr>
        <w:spacing w:after="360" w:before="20"/>
        <w:jc w:val="center"/>
      </w:pPr>
      <w:r>
        <w:rPr>
          <w:rFonts w:ascii="Calibri" w:cs="Calibri" w:eastAsia="Calibri" w:hAnsi="Calibri"/>
          <w:i/>
          <w:iCs/>
          <w:color w:val="5F5E5A"/>
          <w:sz w:val="20"/>
          <w:szCs w:val="20"/>
        </w:rPr>
        <w:t xml:space="preserve">European Central Bank  ·  Customer Behavior Analytics Division  ·  Confidential  ·  2025</w:t>
      </w:r>
    </w:p>
    <w:p>
      <w:pPr>
        <w:shd w:fill="0C447C" w:color="0C447C" w:val="clear"/>
        <w:spacing w:after="80" w:before="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SITUATION</w:t>
      </w:r>
    </w:p>
    <w:p>
      <w:pPr>
        <w:spacing w:after="12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C2A"/>
          <w:sz w:val="22"/>
          <w:szCs w:val="22"/>
        </w:rPr>
        <w:t xml:space="preserve">European retail banks face a 20.4% annual customer churn rate — a level that, if sustained, implies replacing one-fifth of the customer base every year. Despite rich behavioural data, retention strategies remain largely demographic-driven and therefore miss the primary drivers of departure. This analysis of 10,000 customers establishes that engagement and product relationship depth — not demographics, balance, or salary — are the dominant predictors of churn.</w:t>
      </w:r>
    </w:p>
    <w:p>
      <w:pPr>
        <w:spacing w:after="40" w:before="40"/>
      </w:pPr>
      <w:r>
        <w:t xml:space="preserve"/>
      </w:r>
    </w:p>
    <w:p>
      <w:pPr>
        <w:shd w:fill="0C447C" w:color="0C447C" w:val="clear"/>
        <w:spacing w:after="80" w:before="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KEY FINDINGS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C447C"/>
          <w:sz w:val="22"/>
          <w:szCs w:val="22"/>
        </w:rPr>
        <w:t xml:space="preserve">1. Engagement is the primary churn driver.</w:t>
      </w:r>
      <w:r>
        <w:rPr>
          <w:rFonts w:ascii="Calibri" w:cs="Calibri" w:eastAsia="Calibri" w:hAnsi="Calibri"/>
          <w:color w:val="2C2C2A"/>
          <w:sz w:val="22"/>
          <w:szCs w:val="22"/>
        </w:rPr>
        <w:t xml:space="preserve"> Active members churn at 14.3%; inactive members at 26.9% — a 1.88× differential. This is the single most actionable insight: converting inactive customers to active reduces churn nearly in half.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F6E56"/>
          <w:sz w:val="22"/>
          <w:szCs w:val="22"/>
        </w:rPr>
        <w:t xml:space="preserve">2. Two products is the retention sweet spot.</w:t>
      </w:r>
      <w:r>
        <w:rPr>
          <w:rFonts w:ascii="Calibri" w:cs="Calibri" w:eastAsia="Calibri" w:hAnsi="Calibri"/>
          <w:color w:val="2C2C2A"/>
          <w:sz w:val="22"/>
          <w:szCs w:val="22"/>
        </w:rPr>
        <w:t xml:space="preserve"> Moving a customer from 1 to 2 products drops their churn risk from 27.7% to 7.6% — a 20 percentage point reduction. Critically, 3–4 products predict near-universal churn (83–100%), indicating severe over-selling in that segment.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BA7517"/>
          <w:sz w:val="22"/>
          <w:szCs w:val="22"/>
        </w:rPr>
        <w:t xml:space="preserve">3. Germany requires immediate intervention.</w:t>
      </w:r>
      <w:r>
        <w:rPr>
          <w:rFonts w:ascii="Calibri" w:cs="Calibri" w:eastAsia="Calibri" w:hAnsi="Calibri"/>
          <w:color w:val="2C2C2A"/>
          <w:sz w:val="22"/>
          <w:szCs w:val="22"/>
        </w:rPr>
        <w:t xml:space="preserve"> German customers churn at 32.4% — twice the rate of French (16.2%) and Spanish (16.7%) customers. This is not explained by product distribution and signals a market-specific structural issue.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A32D2D"/>
          <w:sz w:val="22"/>
          <w:szCs w:val="22"/>
        </w:rPr>
        <w:t xml:space="preserve">4. The 51–60 age cohort is in crisis.</w:t>
      </w:r>
      <w:r>
        <w:rPr>
          <w:rFonts w:ascii="Calibri" w:cs="Calibri" w:eastAsia="Calibri" w:hAnsi="Calibri"/>
          <w:color w:val="2C2C2A"/>
          <w:sz w:val="22"/>
          <w:szCs w:val="22"/>
        </w:rPr>
        <w:t xml:space="preserve"> A 56.2% churn rate means more than half of customers in this cohort are leaving. This segment's financial needs — retirement planning, wealth management — are demonstrably unmet.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A32D2D"/>
          <w:sz w:val="22"/>
          <w:szCs w:val="22"/>
        </w:rPr>
        <w:t xml:space="preserve">5. 1,584 premium customers are at imminent risk.</w:t>
      </w:r>
      <w:r>
        <w:rPr>
          <w:rFonts w:ascii="Calibri" w:cs="Calibri" w:eastAsia="Calibri" w:hAnsi="Calibri"/>
          <w:color w:val="2C2C2A"/>
          <w:sz w:val="22"/>
          <w:szCs w:val="22"/>
        </w:rPr>
        <w:t xml:space="preserve"> High-balance (&gt;€100k) inactive customers churn at 32.8%. The 1,584 still retained are the bank's highest-priority rescue segment — their exit would represent a disproportionate loss of assets under management.</w:t>
      </w:r>
    </w:p>
    <w:p>
      <w:pPr>
        <w:spacing w:after="40" w:before="40"/>
      </w:pPr>
      <w:r>
        <w:t xml:space="preserve"/>
      </w:r>
    </w:p>
    <w:p>
      <w:pPr>
        <w:shd w:fill="0C447C" w:color="0C447C" w:val="clear"/>
        <w:spacing w:after="80" w:before="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GOVERNMENT-LEVEL RECOMMENDATIONS</w:t>
      </w:r>
    </w:p>
    <w:p>
      <w:pPr>
        <w:spacing w:after="40" w:before="40"/>
      </w:pPr>
      <w:r>
        <w:t xml:space="preserve"/>
      </w:r>
    </w:p>
    <w:tbl>
      <w:tblPr>
        <w:tblW w:type="dxa" w:w="9000"/>
        <w:tblBorders>
          <w:top w:val="single" w:color="C5D8F0" w:sz="4"/>
          <w:left w:val="single" w:color="C5D8F0" w:sz="4"/>
          <w:bottom w:val="single" w:color="C5D8F0" w:sz="4"/>
          <w:right w:val="single" w:color="C5D8F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shd w:fill="0C447C" w:color="0C447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200"/>
            <w:shd w:fill="0C447C" w:color="0C447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shd w:fill="0C447C" w:color="0C447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Segment</w:t>
            </w:r>
          </w:p>
        </w:tc>
        <w:tc>
          <w:tcPr>
            <w:tcW w:type="dxa" w:w="2400"/>
            <w:shd w:fill="0C447C" w:color="0C447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Impact</w:t>
            </w:r>
          </w:p>
        </w:tc>
      </w:tr>
      <w:tr>
        <w:tc>
          <w:tcPr>
            <w:tcW w:type="dxa" w:w="1400"/>
            <w:shd w:fill="F0F5FB" w:color="F0F5FB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C2C2A"/>
                <w:sz w:val="20"/>
                <w:szCs w:val="20"/>
              </w:rPr>
              <w:t xml:space="preserve">1 — Immediate</w:t>
            </w:r>
          </w:p>
        </w:tc>
        <w:tc>
          <w:tcPr>
            <w:tcW w:type="dxa" w:w="3200"/>
            <w:shd w:fill="F0F5FB" w:color="F0F5FB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C2C2A"/>
                <w:sz w:val="20"/>
                <w:szCs w:val="20"/>
              </w:rPr>
              <w:t xml:space="preserve">Deploy relationship managers to 1,584 high-balance inactive customers</w:t>
            </w:r>
          </w:p>
        </w:tc>
        <w:tc>
          <w:tcPr>
            <w:tcW w:type="dxa" w:w="2000"/>
            <w:shd w:fill="F0F5FB" w:color="F0F5FB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C2C2A"/>
                <w:sz w:val="20"/>
                <w:szCs w:val="20"/>
              </w:rPr>
              <w:t xml:space="preserve">Premium at-risk</w:t>
            </w:r>
          </w:p>
        </w:tc>
        <w:tc>
          <w:tcPr>
            <w:tcW w:type="dxa" w:w="2400"/>
            <w:shd w:fill="F0F5FB" w:color="F0F5FB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C2C2A"/>
                <w:sz w:val="20"/>
                <w:szCs w:val="20"/>
              </w:rPr>
              <w:t xml:space="preserve">Prevent €150M+ in at-risk deposits</w:t>
            </w:r>
          </w:p>
        </w:tc>
      </w:tr>
      <w:tr>
        <w:tc>
          <w:tcPr>
            <w:tcW w:type="dxa" w:w="1400"/>
            <w:shd w:fill="FFFFFF" w:color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C2C2A"/>
                <w:sz w:val="20"/>
                <w:szCs w:val="20"/>
              </w:rPr>
              <w:t xml:space="preserve">2 — Immediate</w:t>
            </w:r>
          </w:p>
        </w:tc>
        <w:tc>
          <w:tcPr>
            <w:tcW w:type="dxa" w:w="3200"/>
            <w:shd w:fill="FFFFFF" w:color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C2C2A"/>
                <w:sz w:val="20"/>
                <w:szCs w:val="20"/>
              </w:rPr>
              <w:t xml:space="preserve">Launch 1→2 product cross-sell campaign</w:t>
            </w:r>
          </w:p>
        </w:tc>
        <w:tc>
          <w:tcPr>
            <w:tcW w:type="dxa" w:w="2000"/>
            <w:shd w:fill="FFFFFF" w:color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C2C2A"/>
                <w:sz w:val="20"/>
                <w:szCs w:val="20"/>
              </w:rPr>
              <w:t xml:space="preserve">5,084 single-product customers</w:t>
            </w:r>
          </w:p>
        </w:tc>
        <w:tc>
          <w:tcPr>
            <w:tcW w:type="dxa" w:w="2400"/>
            <w:shd w:fill="FFFFFF" w:color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C2C2A"/>
                <w:sz w:val="20"/>
                <w:szCs w:val="20"/>
              </w:rPr>
              <w:t xml:space="preserve">Reduce churn from 27.7% to ~10%</w:t>
            </w:r>
          </w:p>
        </w:tc>
      </w:tr>
      <w:tr>
        <w:tc>
          <w:tcPr>
            <w:tcW w:type="dxa" w:w="1400"/>
            <w:shd w:fill="F0F5FB" w:color="F0F5FB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C2C2A"/>
                <w:sz w:val="20"/>
                <w:szCs w:val="20"/>
              </w:rPr>
              <w:t xml:space="preserve">3 — 30 Days</w:t>
            </w:r>
          </w:p>
        </w:tc>
        <w:tc>
          <w:tcPr>
            <w:tcW w:type="dxa" w:w="3200"/>
            <w:shd w:fill="F0F5FB" w:color="F0F5FB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C2C2A"/>
                <w:sz w:val="20"/>
                <w:szCs w:val="20"/>
              </w:rPr>
              <w:t xml:space="preserve">Germany market diagnostic &amp; retention programme</w:t>
            </w:r>
          </w:p>
        </w:tc>
        <w:tc>
          <w:tcPr>
            <w:tcW w:type="dxa" w:w="2000"/>
            <w:shd w:fill="F0F5FB" w:color="F0F5FB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C2C2A"/>
                <w:sz w:val="20"/>
                <w:szCs w:val="20"/>
              </w:rPr>
              <w:t xml:space="preserve">2,509 German customers</w:t>
            </w:r>
          </w:p>
        </w:tc>
        <w:tc>
          <w:tcPr>
            <w:tcW w:type="dxa" w:w="2400"/>
            <w:shd w:fill="F0F5FB" w:color="F0F5FB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C2C2A"/>
                <w:sz w:val="20"/>
                <w:szCs w:val="20"/>
              </w:rPr>
              <w:t xml:space="preserve">Reduce 32.4% churn toward 20%</w:t>
            </w:r>
          </w:p>
        </w:tc>
      </w:tr>
      <w:tr>
        <w:tc>
          <w:tcPr>
            <w:tcW w:type="dxa" w:w="1400"/>
            <w:shd w:fill="FFFFFF" w:color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C2C2A"/>
                <w:sz w:val="20"/>
                <w:szCs w:val="20"/>
              </w:rPr>
              <w:t xml:space="preserve">4 — 60 Days</w:t>
            </w:r>
          </w:p>
        </w:tc>
        <w:tc>
          <w:tcPr>
            <w:tcW w:type="dxa" w:w="3200"/>
            <w:shd w:fill="FFFFFF" w:color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C2C2A"/>
                <w:sz w:val="20"/>
                <w:szCs w:val="20"/>
              </w:rPr>
              <w:t xml:space="preserve">Age 51–60 life-stage product redesign</w:t>
            </w:r>
          </w:p>
        </w:tc>
        <w:tc>
          <w:tcPr>
            <w:tcW w:type="dxa" w:w="2000"/>
            <w:shd w:fill="FFFFFF" w:color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C2C2A"/>
                <w:sz w:val="20"/>
                <w:szCs w:val="20"/>
              </w:rPr>
              <w:t xml:space="preserve">797 customers</w:t>
            </w:r>
          </w:p>
        </w:tc>
        <w:tc>
          <w:tcPr>
            <w:tcW w:type="dxa" w:w="2400"/>
            <w:shd w:fill="FFFFFF" w:color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C2C2A"/>
                <w:sz w:val="20"/>
                <w:szCs w:val="20"/>
              </w:rPr>
              <w:t xml:space="preserve">Halve the 56.2% churn rate</w:t>
            </w:r>
          </w:p>
        </w:tc>
      </w:tr>
      <w:tr>
        <w:tc>
          <w:tcPr>
            <w:tcW w:type="dxa" w:w="1400"/>
            <w:shd w:fill="F0F5FB" w:color="F0F5FB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C2C2A"/>
                <w:sz w:val="20"/>
                <w:szCs w:val="20"/>
              </w:rPr>
              <w:t xml:space="preserve">5 — 90 Days</w:t>
            </w:r>
          </w:p>
        </w:tc>
        <w:tc>
          <w:tcPr>
            <w:tcW w:type="dxa" w:w="3200"/>
            <w:shd w:fill="F0F5FB" w:color="F0F5FB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C2C2A"/>
                <w:sz w:val="20"/>
                <w:szCs w:val="20"/>
              </w:rPr>
              <w:t xml:space="preserve">Reactivation campaign for inactive members</w:t>
            </w:r>
          </w:p>
        </w:tc>
        <w:tc>
          <w:tcPr>
            <w:tcW w:type="dxa" w:w="2000"/>
            <w:shd w:fill="F0F5FB" w:color="F0F5FB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C2C2A"/>
                <w:sz w:val="20"/>
                <w:szCs w:val="20"/>
              </w:rPr>
              <w:t xml:space="preserve">4,849 inactive members</w:t>
            </w:r>
          </w:p>
        </w:tc>
        <w:tc>
          <w:tcPr>
            <w:tcW w:type="dxa" w:w="2400"/>
            <w:shd w:fill="F0F5FB" w:color="F0F5FB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C2C2A"/>
                <w:sz w:val="20"/>
                <w:szCs w:val="20"/>
              </w:rPr>
              <w:t xml:space="preserve">Reduce inactive churn from 26.9% to &lt;20%</w:t>
            </w:r>
          </w:p>
        </w:tc>
      </w:tr>
      <w:tr>
        <w:tc>
          <w:tcPr>
            <w:tcW w:type="dxa" w:w="1400"/>
            <w:shd w:fill="FFFFFF" w:color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C2C2A"/>
                <w:sz w:val="20"/>
                <w:szCs w:val="20"/>
              </w:rPr>
              <w:t xml:space="preserve">6 — Strategic</w:t>
            </w:r>
          </w:p>
        </w:tc>
        <w:tc>
          <w:tcPr>
            <w:tcW w:type="dxa" w:w="3200"/>
            <w:shd w:fill="FFFFFF" w:color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C2C2A"/>
                <w:sz w:val="20"/>
                <w:szCs w:val="20"/>
              </w:rPr>
              <w:t xml:space="preserve">Integrate RSI into CRM early-warning system</w:t>
            </w:r>
          </w:p>
        </w:tc>
        <w:tc>
          <w:tcPr>
            <w:tcW w:type="dxa" w:w="2000"/>
            <w:shd w:fill="FFFFFF" w:color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C2C2A"/>
                <w:sz w:val="20"/>
                <w:szCs w:val="20"/>
              </w:rPr>
              <w:t xml:space="preserve">All 10,000 customers</w:t>
            </w:r>
          </w:p>
        </w:tc>
        <w:tc>
          <w:tcPr>
            <w:tcW w:type="dxa" w:w="2400"/>
            <w:shd w:fill="FFFFFF" w:color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C2C2A"/>
                <w:sz w:val="20"/>
                <w:szCs w:val="20"/>
              </w:rPr>
              <w:t xml:space="preserve">Systemic 2.85× churn discriminator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hd w:fill="0C447C" w:color="0C447C" w:val="clear"/>
        <w:spacing w:after="80" w:before="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REGULATORY &amp; POLICY IMPLICATIONS</w:t>
      </w:r>
    </w:p>
    <w:p>
      <w:pPr>
        <w:spacing w:after="12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C2A"/>
          <w:sz w:val="22"/>
          <w:szCs w:val="22"/>
        </w:rPr>
        <w:t xml:space="preserve">The 3–4 product churn finding has direct consumer protection implications: 326 customers in the 3–4 product tier are experiencing near-universal churn, suggesting systemic mis-selling or product complexity that regulators should investigate. We recommend:</w:t>
      </w:r>
    </w:p>
    <w:p>
      <w:pPr>
        <w:spacing w:after="60" w:before="40"/>
        <w:ind w:left="360"/>
      </w:pPr>
      <w:r>
        <w:rPr>
          <w:rFonts w:ascii="Calibri" w:cs="Calibri" w:eastAsia="Calibri" w:hAnsi="Calibri"/>
          <w:b/>
          <w:bCs/>
          <w:color w:val="185FA5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C2C2A"/>
          <w:sz w:val="22"/>
          <w:szCs w:val="22"/>
        </w:rPr>
        <w:t xml:space="preserve">Mandate product suitability assessments before cross-selling a third product to any retail customer</w:t>
      </w:r>
    </w:p>
    <w:p>
      <w:pPr>
        <w:spacing w:after="60" w:before="40"/>
        <w:ind w:left="360"/>
      </w:pPr>
      <w:r>
        <w:rPr>
          <w:rFonts w:ascii="Calibri" w:cs="Calibri" w:eastAsia="Calibri" w:hAnsi="Calibri"/>
          <w:b/>
          <w:bCs/>
          <w:color w:val="185FA5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C2C2A"/>
          <w:sz w:val="22"/>
          <w:szCs w:val="22"/>
        </w:rPr>
        <w:t xml:space="preserve">Require banks to track and report 'product overload churn' as a distinct mis-selling metric</w:t>
      </w:r>
    </w:p>
    <w:p>
      <w:pPr>
        <w:spacing w:after="60" w:before="40"/>
        <w:ind w:left="360"/>
      </w:pPr>
      <w:r>
        <w:rPr>
          <w:rFonts w:ascii="Calibri" w:cs="Calibri" w:eastAsia="Calibri" w:hAnsi="Calibri"/>
          <w:b/>
          <w:bCs/>
          <w:color w:val="185FA5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C2C2A"/>
          <w:sz w:val="22"/>
          <w:szCs w:val="22"/>
        </w:rPr>
        <w:t xml:space="preserve">Consider regional retention benchmarks that explicitly flag Germany-level churn anomalies for supervisory review</w:t>
      </w:r>
    </w:p>
    <w:p>
      <w:pPr>
        <w:spacing w:after="60" w:before="40"/>
        <w:ind w:left="360"/>
      </w:pPr>
      <w:r>
        <w:rPr>
          <w:rFonts w:ascii="Calibri" w:cs="Calibri" w:eastAsia="Calibri" w:hAnsi="Calibri"/>
          <w:b/>
          <w:bCs/>
          <w:color w:val="185FA5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C2C2A"/>
          <w:sz w:val="22"/>
          <w:szCs w:val="22"/>
        </w:rPr>
        <w:t xml:space="preserve">Establish gender-neutral retention monitoring: the 8.6pp female–male churn gap may reflect systemic product design or communication bias</w:t>
      </w:r>
    </w:p>
    <w:p>
      <w:pPr>
        <w:spacing w:after="40" w:before="40"/>
      </w:pPr>
      <w:r>
        <w:t xml:space="preserve"/>
      </w:r>
    </w:p>
    <w:p>
      <w:pPr>
        <w:shd w:fill="0C447C" w:color="0C447C" w:val="clear"/>
        <w:spacing w:after="80" w:before="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CONCLUSION</w:t>
      </w:r>
    </w:p>
    <w:p>
      <w:pPr>
        <w:spacing w:after="12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C2A"/>
          <w:sz w:val="22"/>
          <w:szCs w:val="22"/>
        </w:rPr>
        <w:t xml:space="preserve">The data is unambiguous: European retail banks that prioritise engagement monitoring and disciplined product bundling over demographic targeting will achieve materially lower churn rates. The Relationship Strength Index provides a ready-to-deploy operational tool for identifying at-risk customers before they exit. With targeted interventions, a reduction of the current 20.4% churn rate to a 12–15% target range is achievable within 12 months.</w:t>
      </w:r>
    </w:p>
    <w:p>
      <w:pPr>
        <w:spacing w:after="40" w:before="40"/>
      </w:pPr>
      <w: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b w:val="false"/>
          <w:bCs w:val="false"/>
          <w:i/>
          <w:iCs/>
          <w:color w:val="2C2C2A"/>
          <w:sz w:val="22"/>
          <w:szCs w:val="22"/>
        </w:rPr>
        <w:t xml:space="preserve">This analysis and its interactive Streamlit dashboard are available for government stakeholder review and deployment as a supervisory analytics tool.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8E8" w:sz="2" w:space="4"/>
      </w:pBdr>
      <w:jc w:val="center"/>
    </w:pPr>
    <w:r>
      <w:rPr>
        <w:rFonts w:ascii="Calibri" w:cs="Calibri" w:eastAsia="Calibri" w:hAnsi="Calibri"/>
        <w:color w:val="5F5E5A"/>
        <w:sz w:val="18"/>
        <w:szCs w:val="18"/>
      </w:rPr>
      <w:t xml:space="preserve">Page </w:t>
    </w:r>
    <w:r>
      <w:rPr>
        <w:rFonts w:ascii="Calibri" w:cs="Calibri" w:eastAsia="Calibri" w:hAnsi="Calibri"/>
        <w:color w:val="5F5E5A"/>
        <w:sz w:val="18"/>
        <w:szCs w:val="18"/>
      </w:rPr>
      <w:t xml:space="preserve">  ·  European Central Bank · Customer Retention Analytics ·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85FA5" w:sz="4" w:space="4"/>
      </w:pBdr>
      <w:jc w:val="right"/>
    </w:pPr>
    <w:r>
      <w:rPr>
        <w:rFonts w:ascii="Calibri" w:cs="Calibri" w:eastAsia="Calibri" w:hAnsi="Calibri"/>
        <w:color w:val="5F5E5A"/>
        <w:sz w:val="18"/>
        <w:szCs w:val="18"/>
      </w:rPr>
      <w:t xml:space="preserve">EXECUTIVE SUMMARY — CONFIDENTIAL — European Central Bank  · 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2026-05-28T17:16:19.008Z</dcterms:created>
  <dcterms:modified xsi:type="dcterms:W3CDTF">2026-05-28T17:16:19.008Z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