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0C447C"/>
          <w:sz w:val="56"/>
          <w:szCs w:val="56"/>
        </w:rPr>
        <w:br/>
        <w:t xml:space="preserve">CUSTOMER ENGAGEMENT &amp;</w:t>
        <w:br/>
        <w:t>PRODUCT UTILIZATION ANALYTICSFOR RETENTION STRATEGY</w:t>
      </w:r>
    </w:p>
    <w:p>
      <w:pPr>
        <w:spacing w:after="40" w:before="80"/>
        <w:jc w:val="center"/>
      </w:pPr>
      <w:r>
        <w:rPr>
          <w:rFonts w:ascii="Calibri" w:cs="Calibri" w:eastAsia="Calibri" w:hAnsi="Calibri"/>
          <w:i/>
          <w:iCs/>
          <w:color w:val="185FA5"/>
          <w:sz w:val="26"/>
          <w:szCs w:val="26"/>
        </w:rPr>
        <w:t xml:space="preserve">A Behavioral Churn Analysis of European Banking Customers</w:t>
      </w:r>
    </w:p>
    <w:p>
      <w:pPr>
        <w:spacing w:after="360" w:before="40"/>
        <w:jc w:val="center"/>
      </w:pPr>
      <w:r>
        <w:rPr>
          <w:rFonts w:ascii="Calibri" w:cs="Calibri" w:eastAsia="Calibri" w:hAnsi="Calibri"/>
          <w:color w:val="5F5E5A"/>
          <w:sz w:val="20"/>
          <w:szCs w:val="20"/>
        </w:rPr>
        <w:t xml:space="preserve">European Central Bank  ·  Customer Behavior Analytics Division  ·  2025</w:t>
      </w:r>
    </w:p>
    <w:p>
      <w:pPr>
        <w:pBdr>
          <w:left w:val="single" w:color="185FA5" w:sz="16" w:space="8"/>
        </w:pBdr>
        <w:shd w:fill="EBF3FB" w:color="EBF3FB" w:val="clear"/>
        <w:spacing w:after="80" w:before="240"/>
      </w:pPr>
      <w:r>
        <w:rPr>
          <w:rFonts w:ascii="Calibri" w:cs="Calibri" w:eastAsia="Calibri" w:hAnsi="Calibri"/>
          <w:b/>
          <w:bCs/>
          <w:color w:val="0C447C"/>
          <w:sz w:val="24"/>
          <w:szCs w:val="24"/>
        </w:rPr>
        <w:t xml:space="preserve">Abstract</w:t>
      </w:r>
    </w:p>
    <w:p>
      <w:pPr>
        <w:shd w:fill="EBF3FB" w:color="EBF3FB" w:val="clear"/>
        <w:spacing w:after="240" w:before="40"/>
        <w:ind w:left="240"/>
      </w:pPr>
      <w:r>
        <w:rPr>
          <w:rFonts w:ascii="Calibri" w:cs="Calibri" w:eastAsia="Calibri" w:hAnsi="Calibri"/>
          <w:i/>
          <w:iCs/>
          <w:color w:val="2C2C2A"/>
          <w:sz w:val="20"/>
          <w:szCs w:val="20"/>
        </w:rPr>
        <w:t xml:space="preserve">This paper presents a comprehensive behavioral analysis of customer churn in a European banking dataset comprising 10,000 customers across France, Germany, and Spain. Unlike conventional demographic-driven approaches, this study focuses on engagement indicators, product utilization patterns, and relationship depth metrics as primary predictors of churn. Key findings reveal that inactive single-product customers churn at 36.7% — nearly 4× the rate of active multi-product holders (9.7%). A novel Relationship Strength Index (RSI) is introduced and validated, demonstrating a 2.8× churn differential between high and low RSI tiers. The study identifies a critical 'silent premium churn' segment — high-balance inactive customers churning at 32.8% — and provides actionable cross-sell, re-engagement, and retention prescriptions.</w:t>
      </w:r>
    </w:p>
    <w:p>
      <w:pPr>
        <w:pStyle w:val="Heading1"/>
        <w:pBdr>
          <w:bottom w:val="single" w:color="185FA5" w:sz="8" w:space="4"/>
        </w:pBdr>
        <w:spacing w:after="120" w:before="360"/>
        <w:rPr>
          <w:rFonts w:ascii="Calibri" w:cs="Calibri" w:eastAsia="Calibri" w:hAnsi="Calibri"/>
          <w:b/>
          <w:bCs/>
          <w:color w:val="0C447C"/>
          <w:sz w:val="28"/>
          <w:szCs w:val="28"/>
        </w:rPr>
      </w:pPr>
      <w:r>
        <w:t xml:space="preserve">1. Introduction &amp; Problem Statement</w:t>
      </w:r>
    </w:p>
    <w:p>
      <w:pPr>
        <w:spacing w:after="120" w:before="60"/>
      </w:pPr>
      <w:r>
        <w:rPr>
          <w:rFonts w:ascii="Calibri" w:cs="Calibri" w:eastAsia="Calibri" w:hAnsi="Calibri"/>
          <w:b w:val="false"/>
          <w:bCs w:val="false"/>
          <w:i w:val="false"/>
          <w:iCs w:val="false"/>
          <w:color w:val="2C2C2A"/>
          <w:sz w:val="22"/>
          <w:szCs w:val="22"/>
        </w:rPr>
        <w:t xml:space="preserve">European retail banks face an intensifying customer retention challenge. Historically, retention strategies have relied on demographic segmentation (age, income, geography) while overlooking the behavioral signals that most strongly predict departure intent. This study challenges the demographic-first paradigm by demonstrating that customer engagement and product relationship depth are superior predictors of churn.</w:t>
      </w:r>
    </w:p>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The core hypothesis is that customers may appear financially committed — holding high balances or salaries — yet remain behaviorally disengaged from their bank, representing a significant and underappreciated churn risk. This 'silent premium churn' dynamic is particularly costly, as it concentrates risk precisely among the bank's most valuable customers.</w:t>
      </w:r>
    </w:p>
    <w:p>
      <w:pPr>
        <w:spacing w:after="40" w:before="40"/>
      </w:pPr>
      <w:r>
        <w:t xml:space="preserve"/>
      </w:r>
    </w:p>
    <w:p>
      <w:pPr>
        <w:pStyle w:val="Heading2"/>
        <w:spacing w:after="80" w:before="240"/>
        <w:rPr>
          <w:rFonts w:ascii="Calibri" w:cs="Calibri" w:eastAsia="Calibri" w:hAnsi="Calibri"/>
          <w:b/>
          <w:bCs/>
          <w:color w:val="185FA5"/>
          <w:sz w:val="24"/>
          <w:szCs w:val="24"/>
        </w:rPr>
      </w:pPr>
      <w:r>
        <w:t xml:space="preserve">1.1 Research Questions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Does behavioral engagement (activity status) correlate more strongly with churn than demographics?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Is there an optimal product relationship depth that maximizes retention?</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Which customer segments exhibit disproportionate 'silent churn' risk?</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Can a composite Relationship Strength Index (RSI) reliably identify at-risk customers before they exit?</w:t>
      </w:r>
    </w:p>
    <w:p>
      <w:pPr>
        <w:pStyle w:val="Heading2"/>
        <w:spacing w:after="80" w:before="240"/>
        <w:rPr>
          <w:rFonts w:ascii="Calibri" w:cs="Calibri" w:eastAsia="Calibri" w:hAnsi="Calibri"/>
          <w:b/>
          <w:bCs/>
          <w:color w:val="185FA5"/>
          <w:sz w:val="24"/>
          <w:szCs w:val="24"/>
        </w:rPr>
      </w:pPr>
      <w:r>
        <w:t xml:space="preserve">1.2 Dataset Overview</w:t>
      </w:r>
    </w:p>
    <w:p>
      <w:pPr>
        <w:spacing w:after="120" w:before="60"/>
      </w:pPr>
      <w:r>
        <w:rPr>
          <w:rFonts w:ascii="Calibri" w:cs="Calibri" w:eastAsia="Calibri" w:hAnsi="Calibri"/>
          <w:b w:val="false"/>
          <w:bCs w:val="false"/>
          <w:i w:val="false"/>
          <w:iCs w:val="false"/>
          <w:color w:val="2C2C2A"/>
          <w:sz w:val="22"/>
          <w:szCs w:val="22"/>
        </w:rPr>
        <w:t xml:space="preserve">The analysis is based on a cross-sectional dataset of 10,000 European bank customers for the year 2025, comprising the following attributes:</w:t>
      </w:r>
    </w:p>
    <w:p>
      <w:pPr>
        <w:spacing w:after="40" w:before="40"/>
      </w:pPr>
      <w:r>
        <w:t xml:space="preserve"/>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tblGrid>
      <w:tr>
        <w:trPr>
          <w:tblHeader/>
        </w:trPr>
        <w:tc>
          <w:tcPr>
            <w:tcW w:type="dxa" w:w="2000"/>
            <w:shd w:fill="0C447C" w:color="0C447C" w:val="clear"/>
            <w:vAlign w:val="center"/>
          </w:tcPr>
          <w:p>
            <w:pPr>
              <w:jc w:val="center"/>
            </w:pPr>
            <w:r>
              <w:rPr>
                <w:rFonts w:ascii="Calibri" w:cs="Calibri" w:eastAsia="Calibri" w:hAnsi="Calibri"/>
                <w:b/>
                <w:bCs/>
                <w:color w:val="FFFFFF"/>
                <w:sz w:val="20"/>
                <w:szCs w:val="20"/>
              </w:rPr>
              <w:t xml:space="preserve">Column</w:t>
            </w:r>
          </w:p>
        </w:tc>
        <w:tc>
          <w:tcPr>
            <w:tcW w:type="dxa" w:w="1500"/>
            <w:shd w:fill="0C447C" w:color="0C447C" w:val="clear"/>
            <w:vAlign w:val="center"/>
          </w:tcPr>
          <w:p>
            <w:pPr>
              <w:jc w:val="center"/>
            </w:pPr>
            <w:r>
              <w:rPr>
                <w:rFonts w:ascii="Calibri" w:cs="Calibri" w:eastAsia="Calibri" w:hAnsi="Calibri"/>
                <w:b/>
                <w:bCs/>
                <w:color w:val="FFFFFF"/>
                <w:sz w:val="20"/>
                <w:szCs w:val="20"/>
              </w:rPr>
              <w:t xml:space="preserve">Type</w:t>
            </w:r>
          </w:p>
        </w:tc>
        <w:tc>
          <w:tcPr>
            <w:tcW w:type="dxa" w:w="5500"/>
            <w:shd w:fill="0C447C" w:color="0C447C" w:val="clear"/>
            <w:vAlign w:val="center"/>
          </w:tcPr>
          <w:p>
            <w:pPr>
              <w:jc w:val="center"/>
            </w:pPr>
            <w:r>
              <w:rPr>
                <w:rFonts w:ascii="Calibri" w:cs="Calibri" w:eastAsia="Calibri" w:hAnsi="Calibri"/>
                <w:b/>
                <w:bCs/>
                <w:color w:val="FFFFFF"/>
                <w:sz w:val="20"/>
                <w:szCs w:val="20"/>
              </w:rPr>
              <w:t xml:space="preserve">Description</w:t>
            </w:r>
          </w:p>
        </w:tc>
      </w:tr>
      <w:tr>
        <w:tc>
          <w:tcPr>
            <w:tcW w:type="dxa" w:w="2000"/>
            <w:shd w:fill="F0F5FB" w:color="F0F5FB" w:val="clear"/>
            <w:vAlign w:val="center"/>
          </w:tcPr>
          <w:p>
            <w:pPr>
              <w:jc w:val="left"/>
            </w:pPr>
            <w:r>
              <w:rPr>
                <w:rFonts w:ascii="Calibri" w:cs="Calibri" w:eastAsia="Calibri" w:hAnsi="Calibri"/>
                <w:color w:val="2C2C2A"/>
                <w:sz w:val="20"/>
                <w:szCs w:val="20"/>
              </w:rPr>
              <w:t xml:space="preserve">CustomerId</w:t>
            </w:r>
          </w:p>
        </w:tc>
        <w:tc>
          <w:tcPr>
            <w:tcW w:type="dxa" w:w="1500"/>
            <w:shd w:fill="F0F5FB" w:color="F0F5FB" w:val="clear"/>
            <w:vAlign w:val="center"/>
          </w:tcPr>
          <w:p>
            <w:pPr>
              <w:jc w:val="center"/>
            </w:pPr>
            <w:r>
              <w:rPr>
                <w:rFonts w:ascii="Calibri" w:cs="Calibri" w:eastAsia="Calibri" w:hAnsi="Calibri"/>
                <w:color w:val="2C2C2A"/>
                <w:sz w:val="20"/>
                <w:szCs w:val="20"/>
              </w:rPr>
              <w:t xml:space="preserve">Identifier</w:t>
            </w:r>
          </w:p>
        </w:tc>
        <w:tc>
          <w:tcPr>
            <w:tcW w:type="dxa" w:w="5500"/>
            <w:shd w:fill="F0F5FB" w:color="F0F5FB" w:val="clear"/>
            <w:vAlign w:val="center"/>
          </w:tcPr>
          <w:p>
            <w:pPr>
              <w:jc w:val="center"/>
            </w:pPr>
            <w:r>
              <w:rPr>
                <w:rFonts w:ascii="Calibri" w:cs="Calibri" w:eastAsia="Calibri" w:hAnsi="Calibri"/>
                <w:color w:val="2C2C2A"/>
                <w:sz w:val="20"/>
                <w:szCs w:val="20"/>
              </w:rPr>
              <w:t xml:space="preserve">Unique customer reference</w:t>
            </w:r>
          </w:p>
        </w:tc>
      </w:tr>
      <w:tr>
        <w:tc>
          <w:tcPr>
            <w:tcW w:type="dxa" w:w="2000"/>
            <w:shd w:fill="FFFFFF" w:color="FFFFFF" w:val="clear"/>
            <w:vAlign w:val="center"/>
          </w:tcPr>
          <w:p>
            <w:pPr>
              <w:jc w:val="left"/>
            </w:pPr>
            <w:r>
              <w:rPr>
                <w:rFonts w:ascii="Calibri" w:cs="Calibri" w:eastAsia="Calibri" w:hAnsi="Calibri"/>
                <w:color w:val="2C2C2A"/>
                <w:sz w:val="20"/>
                <w:szCs w:val="20"/>
              </w:rPr>
              <w:t xml:space="preserve">Geography</w:t>
            </w:r>
          </w:p>
        </w:tc>
        <w:tc>
          <w:tcPr>
            <w:tcW w:type="dxa" w:w="1500"/>
            <w:shd w:fill="FFFFFF" w:color="FFFFFF" w:val="clear"/>
            <w:vAlign w:val="center"/>
          </w:tcPr>
          <w:p>
            <w:pPr>
              <w:jc w:val="center"/>
            </w:pPr>
            <w:r>
              <w:rPr>
                <w:rFonts w:ascii="Calibri" w:cs="Calibri" w:eastAsia="Calibri" w:hAnsi="Calibri"/>
                <w:color w:val="2C2C2A"/>
                <w:sz w:val="20"/>
                <w:szCs w:val="20"/>
              </w:rPr>
              <w:t xml:space="preserve">Categorical</w:t>
            </w:r>
          </w:p>
        </w:tc>
        <w:tc>
          <w:tcPr>
            <w:tcW w:type="dxa" w:w="5500"/>
            <w:shd w:fill="FFFFFF" w:color="FFFFFF" w:val="clear"/>
            <w:vAlign w:val="center"/>
          </w:tcPr>
          <w:p>
            <w:pPr>
              <w:jc w:val="center"/>
            </w:pPr>
            <w:r>
              <w:rPr>
                <w:rFonts w:ascii="Calibri" w:cs="Calibri" w:eastAsia="Calibri" w:hAnsi="Calibri"/>
                <w:color w:val="2C2C2A"/>
                <w:sz w:val="20"/>
                <w:szCs w:val="20"/>
              </w:rPr>
              <w:t xml:space="preserve">France, Germany, Spain</w:t>
            </w:r>
          </w:p>
        </w:tc>
      </w:tr>
      <w:tr>
        <w:tc>
          <w:tcPr>
            <w:tcW w:type="dxa" w:w="2000"/>
            <w:shd w:fill="F0F5FB" w:color="F0F5FB" w:val="clear"/>
            <w:vAlign w:val="center"/>
          </w:tcPr>
          <w:p>
            <w:pPr>
              <w:jc w:val="left"/>
            </w:pPr>
            <w:r>
              <w:rPr>
                <w:rFonts w:ascii="Calibri" w:cs="Calibri" w:eastAsia="Calibri" w:hAnsi="Calibri"/>
                <w:color w:val="2C2C2A"/>
                <w:sz w:val="20"/>
                <w:szCs w:val="20"/>
              </w:rPr>
              <w:t xml:space="preserve">Gender</w:t>
            </w:r>
          </w:p>
        </w:tc>
        <w:tc>
          <w:tcPr>
            <w:tcW w:type="dxa" w:w="1500"/>
            <w:shd w:fill="F0F5FB" w:color="F0F5FB" w:val="clear"/>
            <w:vAlign w:val="center"/>
          </w:tcPr>
          <w:p>
            <w:pPr>
              <w:jc w:val="center"/>
            </w:pPr>
            <w:r>
              <w:rPr>
                <w:rFonts w:ascii="Calibri" w:cs="Calibri" w:eastAsia="Calibri" w:hAnsi="Calibri"/>
                <w:color w:val="2C2C2A"/>
                <w:sz w:val="20"/>
                <w:szCs w:val="20"/>
              </w:rPr>
              <w:t xml:space="preserve">Binary</w:t>
            </w:r>
          </w:p>
        </w:tc>
        <w:tc>
          <w:tcPr>
            <w:tcW w:type="dxa" w:w="5500"/>
            <w:shd w:fill="F0F5FB" w:color="F0F5FB" w:val="clear"/>
            <w:vAlign w:val="center"/>
          </w:tcPr>
          <w:p>
            <w:pPr>
              <w:jc w:val="center"/>
            </w:pPr>
            <w:r>
              <w:rPr>
                <w:rFonts w:ascii="Calibri" w:cs="Calibri" w:eastAsia="Calibri" w:hAnsi="Calibri"/>
                <w:color w:val="2C2C2A"/>
                <w:sz w:val="20"/>
                <w:szCs w:val="20"/>
              </w:rPr>
              <w:t xml:space="preserve">Male / Female</w:t>
            </w:r>
          </w:p>
        </w:tc>
      </w:tr>
      <w:tr>
        <w:tc>
          <w:tcPr>
            <w:tcW w:type="dxa" w:w="2000"/>
            <w:shd w:fill="FFFFFF" w:color="FFFFFF" w:val="clear"/>
            <w:vAlign w:val="center"/>
          </w:tcPr>
          <w:p>
            <w:pPr>
              <w:jc w:val="left"/>
            </w:pPr>
            <w:r>
              <w:rPr>
                <w:rFonts w:ascii="Calibri" w:cs="Calibri" w:eastAsia="Calibri" w:hAnsi="Calibri"/>
                <w:color w:val="2C2C2A"/>
                <w:sz w:val="20"/>
                <w:szCs w:val="20"/>
              </w:rPr>
              <w:t xml:space="preserve">Age</w:t>
            </w:r>
          </w:p>
        </w:tc>
        <w:tc>
          <w:tcPr>
            <w:tcW w:type="dxa" w:w="1500"/>
            <w:shd w:fill="FFFFFF" w:color="FFFFFF" w:val="clear"/>
            <w:vAlign w:val="center"/>
          </w:tcPr>
          <w:p>
            <w:pPr>
              <w:jc w:val="center"/>
            </w:pPr>
            <w:r>
              <w:rPr>
                <w:rFonts w:ascii="Calibri" w:cs="Calibri" w:eastAsia="Calibri" w:hAnsi="Calibri"/>
                <w:color w:val="2C2C2A"/>
                <w:sz w:val="20"/>
                <w:szCs w:val="20"/>
              </w:rPr>
              <w:t xml:space="preserve">Numeric</w:t>
            </w:r>
          </w:p>
        </w:tc>
        <w:tc>
          <w:tcPr>
            <w:tcW w:type="dxa" w:w="5500"/>
            <w:shd w:fill="FFFFFF" w:color="FFFFFF" w:val="clear"/>
            <w:vAlign w:val="center"/>
          </w:tcPr>
          <w:p>
            <w:pPr>
              <w:jc w:val="center"/>
            </w:pPr>
            <w:r>
              <w:rPr>
                <w:rFonts w:ascii="Calibri" w:cs="Calibri" w:eastAsia="Calibri" w:hAnsi="Calibri"/>
                <w:color w:val="2C2C2A"/>
                <w:sz w:val="20"/>
                <w:szCs w:val="20"/>
              </w:rPr>
              <w:t xml:space="preserve">Customer age (18–92)</w:t>
            </w:r>
          </w:p>
        </w:tc>
      </w:tr>
      <w:tr>
        <w:tc>
          <w:tcPr>
            <w:tcW w:type="dxa" w:w="2000"/>
            <w:shd w:fill="F0F5FB" w:color="F0F5FB" w:val="clear"/>
            <w:vAlign w:val="center"/>
          </w:tcPr>
          <w:p>
            <w:pPr>
              <w:jc w:val="left"/>
            </w:pPr>
            <w:r>
              <w:rPr>
                <w:rFonts w:ascii="Calibri" w:cs="Calibri" w:eastAsia="Calibri" w:hAnsi="Calibri"/>
                <w:color w:val="2C2C2A"/>
                <w:sz w:val="20"/>
                <w:szCs w:val="20"/>
              </w:rPr>
              <w:t xml:space="preserve">Tenure</w:t>
            </w:r>
          </w:p>
        </w:tc>
        <w:tc>
          <w:tcPr>
            <w:tcW w:type="dxa" w:w="1500"/>
            <w:shd w:fill="F0F5FB" w:color="F0F5FB" w:val="clear"/>
            <w:vAlign w:val="center"/>
          </w:tcPr>
          <w:p>
            <w:pPr>
              <w:jc w:val="center"/>
            </w:pPr>
            <w:r>
              <w:rPr>
                <w:rFonts w:ascii="Calibri" w:cs="Calibri" w:eastAsia="Calibri" w:hAnsi="Calibri"/>
                <w:color w:val="2C2C2A"/>
                <w:sz w:val="20"/>
                <w:szCs w:val="20"/>
              </w:rPr>
              <w:t xml:space="preserve">Numeric</w:t>
            </w:r>
          </w:p>
        </w:tc>
        <w:tc>
          <w:tcPr>
            <w:tcW w:type="dxa" w:w="5500"/>
            <w:shd w:fill="F0F5FB" w:color="F0F5FB" w:val="clear"/>
            <w:vAlign w:val="center"/>
          </w:tcPr>
          <w:p>
            <w:pPr>
              <w:jc w:val="center"/>
            </w:pPr>
            <w:r>
              <w:rPr>
                <w:rFonts w:ascii="Calibri" w:cs="Calibri" w:eastAsia="Calibri" w:hAnsi="Calibri"/>
                <w:color w:val="2C2C2A"/>
                <w:sz w:val="20"/>
                <w:szCs w:val="20"/>
              </w:rPr>
              <w:t xml:space="preserve">Years with the bank (0–10)</w:t>
            </w:r>
          </w:p>
        </w:tc>
      </w:tr>
      <w:tr>
        <w:tc>
          <w:tcPr>
            <w:tcW w:type="dxa" w:w="2000"/>
            <w:shd w:fill="FFFFFF" w:color="FFFFFF" w:val="clear"/>
            <w:vAlign w:val="center"/>
          </w:tcPr>
          <w:p>
            <w:pPr>
              <w:jc w:val="left"/>
            </w:pPr>
            <w:r>
              <w:rPr>
                <w:rFonts w:ascii="Calibri" w:cs="Calibri" w:eastAsia="Calibri" w:hAnsi="Calibri"/>
                <w:color w:val="2C2C2A"/>
                <w:sz w:val="20"/>
                <w:szCs w:val="20"/>
              </w:rPr>
              <w:t xml:space="preserve">Balance</w:t>
            </w:r>
          </w:p>
        </w:tc>
        <w:tc>
          <w:tcPr>
            <w:tcW w:type="dxa" w:w="1500"/>
            <w:shd w:fill="FFFFFF" w:color="FFFFFF" w:val="clear"/>
            <w:vAlign w:val="center"/>
          </w:tcPr>
          <w:p>
            <w:pPr>
              <w:jc w:val="center"/>
            </w:pPr>
            <w:r>
              <w:rPr>
                <w:rFonts w:ascii="Calibri" w:cs="Calibri" w:eastAsia="Calibri" w:hAnsi="Calibri"/>
                <w:color w:val="2C2C2A"/>
                <w:sz w:val="20"/>
                <w:szCs w:val="20"/>
              </w:rPr>
              <w:t xml:space="preserve">Numeric</w:t>
            </w:r>
          </w:p>
        </w:tc>
        <w:tc>
          <w:tcPr>
            <w:tcW w:type="dxa" w:w="5500"/>
            <w:shd w:fill="FFFFFF" w:color="FFFFFF" w:val="clear"/>
            <w:vAlign w:val="center"/>
          </w:tcPr>
          <w:p>
            <w:pPr>
              <w:jc w:val="center"/>
            </w:pPr>
            <w:r>
              <w:rPr>
                <w:rFonts w:ascii="Calibri" w:cs="Calibri" w:eastAsia="Calibri" w:hAnsi="Calibri"/>
                <w:color w:val="2C2C2A"/>
                <w:sz w:val="20"/>
                <w:szCs w:val="20"/>
              </w:rPr>
              <w:t xml:space="preserve">Account balance (€0–€250,898)</w:t>
            </w:r>
          </w:p>
        </w:tc>
      </w:tr>
      <w:tr>
        <w:tc>
          <w:tcPr>
            <w:tcW w:type="dxa" w:w="2000"/>
            <w:shd w:fill="F0F5FB" w:color="F0F5FB" w:val="clear"/>
            <w:vAlign w:val="center"/>
          </w:tcPr>
          <w:p>
            <w:pPr>
              <w:jc w:val="left"/>
            </w:pPr>
            <w:r>
              <w:rPr>
                <w:rFonts w:ascii="Calibri" w:cs="Calibri" w:eastAsia="Calibri" w:hAnsi="Calibri"/>
                <w:color w:val="2C2C2A"/>
                <w:sz w:val="20"/>
                <w:szCs w:val="20"/>
              </w:rPr>
              <w:t xml:space="preserve">NumOfProducts</w:t>
            </w:r>
          </w:p>
        </w:tc>
        <w:tc>
          <w:tcPr>
            <w:tcW w:type="dxa" w:w="1500"/>
            <w:shd w:fill="F0F5FB" w:color="F0F5FB" w:val="clear"/>
            <w:vAlign w:val="center"/>
          </w:tcPr>
          <w:p>
            <w:pPr>
              <w:jc w:val="center"/>
            </w:pPr>
            <w:r>
              <w:rPr>
                <w:rFonts w:ascii="Calibri" w:cs="Calibri" w:eastAsia="Calibri" w:hAnsi="Calibri"/>
                <w:color w:val="2C2C2A"/>
                <w:sz w:val="20"/>
                <w:szCs w:val="20"/>
              </w:rPr>
              <w:t xml:space="preserve">Ordinal</w:t>
            </w:r>
          </w:p>
        </w:tc>
        <w:tc>
          <w:tcPr>
            <w:tcW w:type="dxa" w:w="5500"/>
            <w:shd w:fill="F0F5FB" w:color="F0F5FB" w:val="clear"/>
            <w:vAlign w:val="center"/>
          </w:tcPr>
          <w:p>
            <w:pPr>
              <w:jc w:val="center"/>
            </w:pPr>
            <w:r>
              <w:rPr>
                <w:rFonts w:ascii="Calibri" w:cs="Calibri" w:eastAsia="Calibri" w:hAnsi="Calibri"/>
                <w:color w:val="2C2C2A"/>
                <w:sz w:val="20"/>
                <w:szCs w:val="20"/>
              </w:rPr>
              <w:t xml:space="preserve">Bank products held (1–4)</w:t>
            </w:r>
          </w:p>
        </w:tc>
      </w:tr>
      <w:tr>
        <w:tc>
          <w:tcPr>
            <w:tcW w:type="dxa" w:w="2000"/>
            <w:shd w:fill="FFFFFF" w:color="FFFFFF" w:val="clear"/>
            <w:vAlign w:val="center"/>
          </w:tcPr>
          <w:p>
            <w:pPr>
              <w:jc w:val="left"/>
            </w:pPr>
            <w:r>
              <w:rPr>
                <w:rFonts w:ascii="Calibri" w:cs="Calibri" w:eastAsia="Calibri" w:hAnsi="Calibri"/>
                <w:color w:val="2C2C2A"/>
                <w:sz w:val="20"/>
                <w:szCs w:val="20"/>
              </w:rPr>
              <w:t xml:space="preserve">HasCrCard</w:t>
            </w:r>
          </w:p>
        </w:tc>
        <w:tc>
          <w:tcPr>
            <w:tcW w:type="dxa" w:w="1500"/>
            <w:shd w:fill="FFFFFF" w:color="FFFFFF" w:val="clear"/>
            <w:vAlign w:val="center"/>
          </w:tcPr>
          <w:p>
            <w:pPr>
              <w:jc w:val="center"/>
            </w:pPr>
            <w:r>
              <w:rPr>
                <w:rFonts w:ascii="Calibri" w:cs="Calibri" w:eastAsia="Calibri" w:hAnsi="Calibri"/>
                <w:color w:val="2C2C2A"/>
                <w:sz w:val="20"/>
                <w:szCs w:val="20"/>
              </w:rPr>
              <w:t xml:space="preserve">Binary</w:t>
            </w:r>
          </w:p>
        </w:tc>
        <w:tc>
          <w:tcPr>
            <w:tcW w:type="dxa" w:w="5500"/>
            <w:shd w:fill="FFFFFF" w:color="FFFFFF" w:val="clear"/>
            <w:vAlign w:val="center"/>
          </w:tcPr>
          <w:p>
            <w:pPr>
              <w:jc w:val="center"/>
            </w:pPr>
            <w:r>
              <w:rPr>
                <w:rFonts w:ascii="Calibri" w:cs="Calibri" w:eastAsia="Calibri" w:hAnsi="Calibri"/>
                <w:color w:val="2C2C2A"/>
                <w:sz w:val="20"/>
                <w:szCs w:val="20"/>
              </w:rPr>
              <w:t xml:space="preserve">Credit card ownership</w:t>
            </w:r>
          </w:p>
        </w:tc>
      </w:tr>
      <w:tr>
        <w:tc>
          <w:tcPr>
            <w:tcW w:type="dxa" w:w="2000"/>
            <w:shd w:fill="F0F5FB" w:color="F0F5FB" w:val="clear"/>
            <w:vAlign w:val="center"/>
          </w:tcPr>
          <w:p>
            <w:pPr>
              <w:jc w:val="left"/>
            </w:pPr>
            <w:r>
              <w:rPr>
                <w:rFonts w:ascii="Calibri" w:cs="Calibri" w:eastAsia="Calibri" w:hAnsi="Calibri"/>
                <w:color w:val="2C2C2A"/>
                <w:sz w:val="20"/>
                <w:szCs w:val="20"/>
              </w:rPr>
              <w:t xml:space="preserve">IsActiveMember</w:t>
            </w:r>
          </w:p>
        </w:tc>
        <w:tc>
          <w:tcPr>
            <w:tcW w:type="dxa" w:w="1500"/>
            <w:shd w:fill="F0F5FB" w:color="F0F5FB" w:val="clear"/>
            <w:vAlign w:val="center"/>
          </w:tcPr>
          <w:p>
            <w:pPr>
              <w:jc w:val="center"/>
            </w:pPr>
            <w:r>
              <w:rPr>
                <w:rFonts w:ascii="Calibri" w:cs="Calibri" w:eastAsia="Calibri" w:hAnsi="Calibri"/>
                <w:color w:val="2C2C2A"/>
                <w:sz w:val="20"/>
                <w:szCs w:val="20"/>
              </w:rPr>
              <w:t xml:space="preserve">Binary</w:t>
            </w:r>
          </w:p>
        </w:tc>
        <w:tc>
          <w:tcPr>
            <w:tcW w:type="dxa" w:w="5500"/>
            <w:shd w:fill="F0F5FB" w:color="F0F5FB" w:val="clear"/>
            <w:vAlign w:val="center"/>
          </w:tcPr>
          <w:p>
            <w:pPr>
              <w:jc w:val="center"/>
            </w:pPr>
            <w:r>
              <w:rPr>
                <w:rFonts w:ascii="Calibri" w:cs="Calibri" w:eastAsia="Calibri" w:hAnsi="Calibri"/>
                <w:color w:val="2C2C2A"/>
                <w:sz w:val="20"/>
                <w:szCs w:val="20"/>
              </w:rPr>
              <w:t xml:space="preserve">Behavioural activity indicator</w:t>
            </w:r>
          </w:p>
        </w:tc>
      </w:tr>
      <w:tr>
        <w:tc>
          <w:tcPr>
            <w:tcW w:type="dxa" w:w="2000"/>
            <w:shd w:fill="FFFFFF" w:color="FFFFFF" w:val="clear"/>
            <w:vAlign w:val="center"/>
          </w:tcPr>
          <w:p>
            <w:pPr>
              <w:jc w:val="left"/>
            </w:pPr>
            <w:r>
              <w:rPr>
                <w:rFonts w:ascii="Calibri" w:cs="Calibri" w:eastAsia="Calibri" w:hAnsi="Calibri"/>
                <w:color w:val="2C2C2A"/>
                <w:sz w:val="20"/>
                <w:szCs w:val="20"/>
              </w:rPr>
              <w:t xml:space="preserve">EstimatedSalary</w:t>
            </w:r>
          </w:p>
        </w:tc>
        <w:tc>
          <w:tcPr>
            <w:tcW w:type="dxa" w:w="1500"/>
            <w:shd w:fill="FFFFFF" w:color="FFFFFF" w:val="clear"/>
            <w:vAlign w:val="center"/>
          </w:tcPr>
          <w:p>
            <w:pPr>
              <w:jc w:val="center"/>
            </w:pPr>
            <w:r>
              <w:rPr>
                <w:rFonts w:ascii="Calibri" w:cs="Calibri" w:eastAsia="Calibri" w:hAnsi="Calibri"/>
                <w:color w:val="2C2C2A"/>
                <w:sz w:val="20"/>
                <w:szCs w:val="20"/>
              </w:rPr>
              <w:t xml:space="preserve">Numeric</w:t>
            </w:r>
          </w:p>
        </w:tc>
        <w:tc>
          <w:tcPr>
            <w:tcW w:type="dxa" w:w="5500"/>
            <w:shd w:fill="FFFFFF" w:color="FFFFFF" w:val="clear"/>
            <w:vAlign w:val="center"/>
          </w:tcPr>
          <w:p>
            <w:pPr>
              <w:jc w:val="center"/>
            </w:pPr>
            <w:r>
              <w:rPr>
                <w:rFonts w:ascii="Calibri" w:cs="Calibri" w:eastAsia="Calibri" w:hAnsi="Calibri"/>
                <w:color w:val="2C2C2A"/>
                <w:sz w:val="20"/>
                <w:szCs w:val="20"/>
              </w:rPr>
              <w:t xml:space="preserve">Annual salary estimate (€)</w:t>
            </w:r>
          </w:p>
        </w:tc>
      </w:tr>
      <w:tr>
        <w:tc>
          <w:tcPr>
            <w:tcW w:type="dxa" w:w="2000"/>
            <w:shd w:fill="F0F5FB" w:color="F0F5FB" w:val="clear"/>
            <w:vAlign w:val="center"/>
          </w:tcPr>
          <w:p>
            <w:pPr>
              <w:jc w:val="left"/>
            </w:pPr>
            <w:r>
              <w:rPr>
                <w:rFonts w:ascii="Calibri" w:cs="Calibri" w:eastAsia="Calibri" w:hAnsi="Calibri"/>
                <w:color w:val="2C2C2A"/>
                <w:sz w:val="20"/>
                <w:szCs w:val="20"/>
              </w:rPr>
              <w:t xml:space="preserve">CreditScore</w:t>
            </w:r>
          </w:p>
        </w:tc>
        <w:tc>
          <w:tcPr>
            <w:tcW w:type="dxa" w:w="1500"/>
            <w:shd w:fill="F0F5FB" w:color="F0F5FB" w:val="clear"/>
            <w:vAlign w:val="center"/>
          </w:tcPr>
          <w:p>
            <w:pPr>
              <w:jc w:val="center"/>
            </w:pPr>
            <w:r>
              <w:rPr>
                <w:rFonts w:ascii="Calibri" w:cs="Calibri" w:eastAsia="Calibri" w:hAnsi="Calibri"/>
                <w:color w:val="2C2C2A"/>
                <w:sz w:val="20"/>
                <w:szCs w:val="20"/>
              </w:rPr>
              <w:t xml:space="preserve">Numeric</w:t>
            </w:r>
          </w:p>
        </w:tc>
        <w:tc>
          <w:tcPr>
            <w:tcW w:type="dxa" w:w="5500"/>
            <w:shd w:fill="F0F5FB" w:color="F0F5FB" w:val="clear"/>
            <w:vAlign w:val="center"/>
          </w:tcPr>
          <w:p>
            <w:pPr>
              <w:jc w:val="center"/>
            </w:pPr>
            <w:r>
              <w:rPr>
                <w:rFonts w:ascii="Calibri" w:cs="Calibri" w:eastAsia="Calibri" w:hAnsi="Calibri"/>
                <w:color w:val="2C2C2A"/>
                <w:sz w:val="20"/>
                <w:szCs w:val="20"/>
              </w:rPr>
              <w:t xml:space="preserve">Creditworthiness score</w:t>
            </w:r>
          </w:p>
        </w:tc>
      </w:tr>
      <w:tr>
        <w:tc>
          <w:tcPr>
            <w:tcW w:type="dxa" w:w="2000"/>
            <w:shd w:fill="FFFFFF" w:color="FFFFFF" w:val="clear"/>
            <w:vAlign w:val="center"/>
          </w:tcPr>
          <w:p>
            <w:pPr>
              <w:jc w:val="left"/>
            </w:pPr>
            <w:r>
              <w:rPr>
                <w:rFonts w:ascii="Calibri" w:cs="Calibri" w:eastAsia="Calibri" w:hAnsi="Calibri"/>
                <w:color w:val="2C2C2A"/>
                <w:sz w:val="20"/>
                <w:szCs w:val="20"/>
              </w:rPr>
              <w:t xml:space="preserve">Exited</w:t>
            </w:r>
          </w:p>
        </w:tc>
        <w:tc>
          <w:tcPr>
            <w:tcW w:type="dxa" w:w="1500"/>
            <w:shd w:fill="FFFFFF" w:color="FFFFFF" w:val="clear"/>
            <w:vAlign w:val="center"/>
          </w:tcPr>
          <w:p>
            <w:pPr>
              <w:jc w:val="center"/>
            </w:pPr>
            <w:r>
              <w:rPr>
                <w:rFonts w:ascii="Calibri" w:cs="Calibri" w:eastAsia="Calibri" w:hAnsi="Calibri"/>
                <w:color w:val="2C2C2A"/>
                <w:sz w:val="20"/>
                <w:szCs w:val="20"/>
              </w:rPr>
              <w:t xml:space="preserve">Binary (target)</w:t>
            </w:r>
          </w:p>
        </w:tc>
        <w:tc>
          <w:tcPr>
            <w:tcW w:type="dxa" w:w="5500"/>
            <w:shd w:fill="FFFFFF" w:color="FFFFFF" w:val="clear"/>
            <w:vAlign w:val="center"/>
          </w:tcPr>
          <w:p>
            <w:pPr>
              <w:jc w:val="center"/>
            </w:pPr>
            <w:r>
              <w:rPr>
                <w:rFonts w:ascii="Calibri" w:cs="Calibri" w:eastAsia="Calibri" w:hAnsi="Calibri"/>
                <w:color w:val="2C2C2A"/>
                <w:sz w:val="20"/>
                <w:szCs w:val="20"/>
              </w:rPr>
              <w:t xml:space="preserve">Churn indicator (1 = exited)</w:t>
            </w:r>
          </w:p>
        </w:tc>
      </w:tr>
    </w:tbl>
    <w:p>
      <w:pPr>
        <w:spacing w:after="40" w:before="40"/>
      </w:pPr>
      <w:r>
        <w:t xml:space="preserve"/>
      </w:r>
    </w:p>
    <w:p>
      <w:pPr>
        <w:spacing w:after="40" w:before="40"/>
      </w:pPr>
      <w:r>
        <w:t xml:space="preserve"/>
      </w:r>
    </w:p>
    <w:p>
      <w:pPr>
        <w:pStyle w:val="Heading1"/>
        <w:pBdr>
          <w:bottom w:val="single" w:color="185FA5" w:sz="8" w:space="4"/>
        </w:pBdr>
        <w:spacing w:after="120" w:before="360"/>
        <w:rPr>
          <w:rFonts w:ascii="Calibri" w:cs="Calibri" w:eastAsia="Calibri" w:hAnsi="Calibri"/>
          <w:b/>
          <w:bCs/>
          <w:color w:val="0C447C"/>
          <w:sz w:val="28"/>
          <w:szCs w:val="28"/>
        </w:rPr>
      </w:pPr>
      <w:r>
        <w:t xml:space="preserve">2. Analytical Methodology</w:t>
      </w:r>
    </w:p>
    <w:p>
      <w:pPr>
        <w:pStyle w:val="Heading2"/>
        <w:spacing w:after="80" w:before="240"/>
        <w:rPr>
          <w:rFonts w:ascii="Calibri" w:cs="Calibri" w:eastAsia="Calibri" w:hAnsi="Calibri"/>
          <w:b/>
          <w:bCs/>
          <w:color w:val="185FA5"/>
          <w:sz w:val="24"/>
          <w:szCs w:val="24"/>
        </w:rPr>
      </w:pPr>
      <w:r>
        <w:t xml:space="preserve">2.1 Data Validation &amp; Preparation</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Confirmed binary variable consistency: IsActiveMember, HasCrCard, Exited contain only 0/1 values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Validated no missing values across all 10,000 records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Created derived variables: EngagementTier, AgeBucket, BalanceTier, RSI</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Confirmed churn labeling accuracy: 2,037 churned (20.4%), 7,963 retained (79.6%)</w:t>
      </w:r>
    </w:p>
    <w:p>
      <w:pPr>
        <w:pStyle w:val="Heading2"/>
        <w:spacing w:after="80" w:before="240"/>
        <w:rPr>
          <w:rFonts w:ascii="Calibri" w:cs="Calibri" w:eastAsia="Calibri" w:hAnsi="Calibri"/>
          <w:b/>
          <w:bCs/>
          <w:color w:val="185FA5"/>
          <w:sz w:val="24"/>
          <w:szCs w:val="24"/>
        </w:rPr>
      </w:pPr>
      <w:r>
        <w:t xml:space="preserve">2.2 Engagement Classification Framework</w:t>
      </w:r>
    </w:p>
    <w:p>
      <w:pPr>
        <w:spacing w:after="120" w:before="60"/>
      </w:pPr>
      <w:r>
        <w:rPr>
          <w:rFonts w:ascii="Calibri" w:cs="Calibri" w:eastAsia="Calibri" w:hAnsi="Calibri"/>
          <w:b w:val="false"/>
          <w:bCs w:val="false"/>
          <w:i w:val="false"/>
          <w:iCs w:val="false"/>
          <w:color w:val="2C2C2A"/>
          <w:sz w:val="22"/>
          <w:szCs w:val="22"/>
        </w:rPr>
        <w:t xml:space="preserve">Customers were segmented into four mutually exclusive engagement tiers based on activity status and product count:</w:t>
      </w:r>
    </w:p>
    <w:p>
      <w:pPr>
        <w:spacing w:after="40" w:before="40"/>
      </w:pPr>
      <w:r>
        <w:t xml:space="preserve"/>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gridCol w:w="100"/>
      </w:tblGrid>
      <w:tr>
        <w:trPr>
          <w:tblHeader/>
        </w:trPr>
        <w:tc>
          <w:tcPr>
            <w:tcW w:type="dxa" w:w="2800"/>
            <w:shd w:fill="0C447C" w:color="0C447C" w:val="clear"/>
            <w:vAlign w:val="center"/>
          </w:tcPr>
          <w:p>
            <w:pPr>
              <w:jc w:val="center"/>
            </w:pPr>
            <w:r>
              <w:rPr>
                <w:rFonts w:ascii="Calibri" w:cs="Calibri" w:eastAsia="Calibri" w:hAnsi="Calibri"/>
                <w:b/>
                <w:bCs/>
                <w:color w:val="FFFFFF"/>
                <w:sz w:val="20"/>
                <w:szCs w:val="20"/>
              </w:rPr>
              <w:t xml:space="preserve">Tier</w:t>
            </w:r>
          </w:p>
        </w:tc>
        <w:tc>
          <w:tcPr>
            <w:tcW w:type="dxa" w:w="2400"/>
            <w:shd w:fill="0C447C" w:color="0C447C" w:val="clear"/>
            <w:vAlign w:val="center"/>
          </w:tcPr>
          <w:p>
            <w:pPr>
              <w:jc w:val="center"/>
            </w:pPr>
            <w:r>
              <w:rPr>
                <w:rFonts w:ascii="Calibri" w:cs="Calibri" w:eastAsia="Calibri" w:hAnsi="Calibri"/>
                <w:b/>
                <w:bCs/>
                <w:color w:val="FFFFFF"/>
                <w:sz w:val="20"/>
                <w:szCs w:val="20"/>
              </w:rPr>
              <w:t xml:space="preserve">Criteria</w:t>
            </w:r>
          </w:p>
        </w:tc>
        <w:tc>
          <w:tcPr>
            <w:tcW w:type="dxa" w:w="1200"/>
            <w:shd w:fill="0C447C" w:color="0C447C" w:val="clear"/>
            <w:vAlign w:val="center"/>
          </w:tcPr>
          <w:p>
            <w:pPr>
              <w:jc w:val="center"/>
            </w:pPr>
            <w:r>
              <w:rPr>
                <w:rFonts w:ascii="Calibri" w:cs="Calibri" w:eastAsia="Calibri" w:hAnsi="Calibri"/>
                <w:b/>
                <w:bCs/>
                <w:color w:val="FFFFFF"/>
                <w:sz w:val="20"/>
                <w:szCs w:val="20"/>
              </w:rPr>
              <w:t xml:space="preserve">N</w:t>
            </w:r>
          </w:p>
        </w:tc>
        <w:tc>
          <w:tcPr>
            <w:tcW w:type="dxa" w:w="1500"/>
            <w:shd w:fill="0C447C" w:color="0C447C" w:val="clear"/>
            <w:vAlign w:val="center"/>
          </w:tcPr>
          <w:p>
            <w:pPr>
              <w:jc w:val="center"/>
            </w:pPr>
            <w:r>
              <w:rPr>
                <w:rFonts w:ascii="Calibri" w:cs="Calibri" w:eastAsia="Calibri" w:hAnsi="Calibri"/>
                <w:b/>
                <w:bCs/>
                <w:color w:val="FFFFFF"/>
                <w:sz w:val="20"/>
                <w:szCs w:val="20"/>
              </w:rPr>
              <w:t xml:space="preserve">Churn Rate</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Active · Multi-product</w:t>
            </w:r>
          </w:p>
        </w:tc>
        <w:tc>
          <w:tcPr>
            <w:tcW w:type="dxa" w:w="2400"/>
            <w:shd w:fill="F0F5FB" w:color="F0F5FB" w:val="clear"/>
            <w:vAlign w:val="center"/>
          </w:tcPr>
          <w:p>
            <w:pPr>
              <w:jc w:val="center"/>
            </w:pPr>
            <w:r>
              <w:rPr>
                <w:rFonts w:ascii="Calibri" w:cs="Calibri" w:eastAsia="Calibri" w:hAnsi="Calibri"/>
                <w:color w:val="2C2C2A"/>
                <w:sz w:val="20"/>
                <w:szCs w:val="20"/>
              </w:rPr>
              <w:t xml:space="preserve">Active + ≥2 products</w:t>
            </w:r>
          </w:p>
        </w:tc>
        <w:tc>
          <w:tcPr>
            <w:tcW w:type="dxa" w:w="1200"/>
            <w:shd w:fill="F0F5FB" w:color="F0F5FB" w:val="clear"/>
            <w:vAlign w:val="center"/>
          </w:tcPr>
          <w:p>
            <w:pPr>
              <w:jc w:val="center"/>
            </w:pPr>
            <w:r>
              <w:rPr>
                <w:rFonts w:ascii="Calibri" w:cs="Calibri" w:eastAsia="Calibri" w:hAnsi="Calibri"/>
                <w:color w:val="2C2C2A"/>
                <w:sz w:val="20"/>
                <w:szCs w:val="20"/>
              </w:rPr>
              <w:t xml:space="preserve">2,588</w:t>
            </w:r>
          </w:p>
        </w:tc>
        <w:tc>
          <w:tcPr>
            <w:tcW w:type="dxa" w:w="1500"/>
            <w:shd w:fill="F0F5FB" w:color="F0F5FB" w:val="clear"/>
            <w:vAlign w:val="center"/>
          </w:tcPr>
          <w:p>
            <w:pPr>
              <w:jc w:val="center"/>
            </w:pPr>
            <w:r>
              <w:rPr>
                <w:rFonts w:ascii="Calibri" w:cs="Calibri" w:eastAsia="Calibri" w:hAnsi="Calibri"/>
                <w:color w:val="2C2C2A"/>
                <w:sz w:val="20"/>
                <w:szCs w:val="20"/>
              </w:rPr>
              <w:t xml:space="preserve">9.7%</w:t>
            </w:r>
          </w:p>
        </w:tc>
      </w:tr>
      <w:tr>
        <w:tc>
          <w:tcPr>
            <w:tcW w:type="dxa" w:w="2800"/>
            <w:shd w:fill="FFFFFF" w:color="FFFFFF" w:val="clear"/>
            <w:vAlign w:val="center"/>
          </w:tcPr>
          <w:p>
            <w:pPr>
              <w:jc w:val="left"/>
            </w:pPr>
            <w:r>
              <w:rPr>
                <w:rFonts w:ascii="Calibri" w:cs="Calibri" w:eastAsia="Calibri" w:hAnsi="Calibri"/>
                <w:color w:val="2C2C2A"/>
                <w:sz w:val="20"/>
                <w:szCs w:val="20"/>
              </w:rPr>
              <w:t xml:space="preserve">Inactive · Multi-product</w:t>
            </w:r>
          </w:p>
        </w:tc>
        <w:tc>
          <w:tcPr>
            <w:tcW w:type="dxa" w:w="2400"/>
            <w:shd w:fill="FFFFFF" w:color="FFFFFF" w:val="clear"/>
            <w:vAlign w:val="center"/>
          </w:tcPr>
          <w:p>
            <w:pPr>
              <w:jc w:val="center"/>
            </w:pPr>
            <w:r>
              <w:rPr>
                <w:rFonts w:ascii="Calibri" w:cs="Calibri" w:eastAsia="Calibri" w:hAnsi="Calibri"/>
                <w:color w:val="2C2C2A"/>
                <w:sz w:val="20"/>
                <w:szCs w:val="20"/>
              </w:rPr>
              <w:t xml:space="preserve">Inactive + ≥2 products</w:t>
            </w:r>
          </w:p>
        </w:tc>
        <w:tc>
          <w:tcPr>
            <w:tcW w:type="dxa" w:w="1200"/>
            <w:shd w:fill="FFFFFF" w:color="FFFFFF" w:val="clear"/>
            <w:vAlign w:val="center"/>
          </w:tcPr>
          <w:p>
            <w:pPr>
              <w:jc w:val="center"/>
            </w:pPr>
            <w:r>
              <w:rPr>
                <w:rFonts w:ascii="Calibri" w:cs="Calibri" w:eastAsia="Calibri" w:hAnsi="Calibri"/>
                <w:color w:val="2C2C2A"/>
                <w:sz w:val="20"/>
                <w:szCs w:val="20"/>
              </w:rPr>
              <w:t xml:space="preserve">2,328</w:t>
            </w:r>
          </w:p>
        </w:tc>
        <w:tc>
          <w:tcPr>
            <w:tcW w:type="dxa" w:w="1500"/>
            <w:shd w:fill="FFFFFF" w:color="FFFFFF" w:val="clear"/>
            <w:vAlign w:val="center"/>
          </w:tcPr>
          <w:p>
            <w:pPr>
              <w:jc w:val="center"/>
            </w:pPr>
            <w:r>
              <w:rPr>
                <w:rFonts w:ascii="Calibri" w:cs="Calibri" w:eastAsia="Calibri" w:hAnsi="Calibri"/>
                <w:color w:val="2C2C2A"/>
                <w:sz w:val="20"/>
                <w:szCs w:val="20"/>
              </w:rPr>
              <w:t xml:space="preserve">16.2%</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Active · Single-product</w:t>
            </w:r>
          </w:p>
        </w:tc>
        <w:tc>
          <w:tcPr>
            <w:tcW w:type="dxa" w:w="2400"/>
            <w:shd w:fill="F0F5FB" w:color="F0F5FB" w:val="clear"/>
            <w:vAlign w:val="center"/>
          </w:tcPr>
          <w:p>
            <w:pPr>
              <w:jc w:val="center"/>
            </w:pPr>
            <w:r>
              <w:rPr>
                <w:rFonts w:ascii="Calibri" w:cs="Calibri" w:eastAsia="Calibri" w:hAnsi="Calibri"/>
                <w:color w:val="2C2C2A"/>
                <w:sz w:val="20"/>
                <w:szCs w:val="20"/>
              </w:rPr>
              <w:t xml:space="preserve">Active + 1 product</w:t>
            </w:r>
          </w:p>
        </w:tc>
        <w:tc>
          <w:tcPr>
            <w:tcW w:type="dxa" w:w="1200"/>
            <w:shd w:fill="F0F5FB" w:color="F0F5FB" w:val="clear"/>
            <w:vAlign w:val="center"/>
          </w:tcPr>
          <w:p>
            <w:pPr>
              <w:jc w:val="center"/>
            </w:pPr>
            <w:r>
              <w:rPr>
                <w:rFonts w:ascii="Calibri" w:cs="Calibri" w:eastAsia="Calibri" w:hAnsi="Calibri"/>
                <w:color w:val="2C2C2A"/>
                <w:sz w:val="20"/>
                <w:szCs w:val="20"/>
              </w:rPr>
              <w:t xml:space="preserve">2,563</w:t>
            </w:r>
          </w:p>
        </w:tc>
        <w:tc>
          <w:tcPr>
            <w:tcW w:type="dxa" w:w="1500"/>
            <w:shd w:fill="F0F5FB" w:color="F0F5FB" w:val="clear"/>
            <w:vAlign w:val="center"/>
          </w:tcPr>
          <w:p>
            <w:pPr>
              <w:jc w:val="center"/>
            </w:pPr>
            <w:r>
              <w:rPr>
                <w:rFonts w:ascii="Calibri" w:cs="Calibri" w:eastAsia="Calibri" w:hAnsi="Calibri"/>
                <w:color w:val="2C2C2A"/>
                <w:sz w:val="20"/>
                <w:szCs w:val="20"/>
              </w:rPr>
              <w:t xml:space="preserve">18.9%</w:t>
            </w:r>
          </w:p>
        </w:tc>
      </w:tr>
      <w:tr>
        <w:tc>
          <w:tcPr>
            <w:tcW w:type="dxa" w:w="2800"/>
            <w:shd w:fill="FFFFFF" w:color="FFFFFF" w:val="clear"/>
            <w:vAlign w:val="center"/>
          </w:tcPr>
          <w:p>
            <w:pPr>
              <w:jc w:val="left"/>
            </w:pPr>
            <w:r>
              <w:rPr>
                <w:rFonts w:ascii="Calibri" w:cs="Calibri" w:eastAsia="Calibri" w:hAnsi="Calibri"/>
                <w:color w:val="2C2C2A"/>
                <w:sz w:val="20"/>
                <w:szCs w:val="20"/>
              </w:rPr>
              <w:t xml:space="preserve">Inactive · Single-product</w:t>
            </w:r>
          </w:p>
        </w:tc>
        <w:tc>
          <w:tcPr>
            <w:tcW w:type="dxa" w:w="2400"/>
            <w:shd w:fill="FFFFFF" w:color="FFFFFF" w:val="clear"/>
            <w:vAlign w:val="center"/>
          </w:tcPr>
          <w:p>
            <w:pPr>
              <w:jc w:val="center"/>
            </w:pPr>
            <w:r>
              <w:rPr>
                <w:rFonts w:ascii="Calibri" w:cs="Calibri" w:eastAsia="Calibri" w:hAnsi="Calibri"/>
                <w:color w:val="2C2C2A"/>
                <w:sz w:val="20"/>
                <w:szCs w:val="20"/>
              </w:rPr>
              <w:t xml:space="preserve">Inactive + 1 product</w:t>
            </w:r>
          </w:p>
        </w:tc>
        <w:tc>
          <w:tcPr>
            <w:tcW w:type="dxa" w:w="1200"/>
            <w:shd w:fill="FFFFFF" w:color="FFFFFF" w:val="clear"/>
            <w:vAlign w:val="center"/>
          </w:tcPr>
          <w:p>
            <w:pPr>
              <w:jc w:val="center"/>
            </w:pPr>
            <w:r>
              <w:rPr>
                <w:rFonts w:ascii="Calibri" w:cs="Calibri" w:eastAsia="Calibri" w:hAnsi="Calibri"/>
                <w:color w:val="2C2C2A"/>
                <w:sz w:val="20"/>
                <w:szCs w:val="20"/>
              </w:rPr>
              <w:t xml:space="preserve">2,521</w:t>
            </w:r>
          </w:p>
        </w:tc>
        <w:tc>
          <w:tcPr>
            <w:tcW w:type="dxa" w:w="1500"/>
            <w:shd w:fill="FFFFFF" w:color="FFFFFF" w:val="clear"/>
            <w:vAlign w:val="center"/>
          </w:tcPr>
          <w:p>
            <w:pPr>
              <w:jc w:val="center"/>
            </w:pPr>
            <w:r>
              <w:rPr>
                <w:rFonts w:ascii="Calibri" w:cs="Calibri" w:eastAsia="Calibri" w:hAnsi="Calibri"/>
                <w:color w:val="2C2C2A"/>
                <w:sz w:val="20"/>
                <w:szCs w:val="20"/>
              </w:rPr>
              <w:t xml:space="preserve">36.7%</w:t>
            </w:r>
          </w:p>
        </w:tc>
      </w:tr>
    </w:tbl>
    <w:p>
      <w:pPr>
        <w:pStyle w:val="Heading2"/>
        <w:spacing w:after="80" w:before="240"/>
        <w:rPr>
          <w:rFonts w:ascii="Calibri" w:cs="Calibri" w:eastAsia="Calibri" w:hAnsi="Calibri"/>
          <w:b/>
          <w:bCs/>
          <w:color w:val="185FA5"/>
          <w:sz w:val="24"/>
          <w:szCs w:val="24"/>
        </w:rPr>
      </w:pPr>
      <w:r>
        <w:t xml:space="preserve">2.3 Relationship Strength Index (RSI)</w:t>
      </w:r>
    </w:p>
    <w:p>
      <w:pPr>
        <w:spacing w:after="120" w:before="60"/>
      </w:pPr>
      <w:r>
        <w:rPr>
          <w:rFonts w:ascii="Calibri" w:cs="Calibri" w:eastAsia="Calibri" w:hAnsi="Calibri"/>
          <w:b w:val="false"/>
          <w:bCs w:val="false"/>
          <w:i w:val="false"/>
          <w:iCs w:val="false"/>
          <w:color w:val="2C2C2A"/>
          <w:sz w:val="22"/>
          <w:szCs w:val="22"/>
        </w:rPr>
        <w:t xml:space="preserve">A composite behavioral scoring model was developed to quantify relationship depth on a 0–120 scale:</w:t>
      </w:r>
    </w:p>
    <w:p>
      <w:pPr>
        <w:spacing w:after="40" w:before="40"/>
      </w:pPr>
      <w:r>
        <w:t xml:space="preserve"/>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tblGrid>
      <w:tr>
        <w:trPr>
          <w:tblHeader/>
        </w:trPr>
        <w:tc>
          <w:tcPr>
            <w:tcW w:type="dxa" w:w="2800"/>
            <w:shd w:fill="0C447C" w:color="0C447C" w:val="clear"/>
            <w:vAlign w:val="center"/>
          </w:tcPr>
          <w:p>
            <w:pPr>
              <w:jc w:val="center"/>
            </w:pPr>
            <w:r>
              <w:rPr>
                <w:rFonts w:ascii="Calibri" w:cs="Calibri" w:eastAsia="Calibri" w:hAnsi="Calibri"/>
                <w:b/>
                <w:bCs/>
                <w:color w:val="FFFFFF"/>
                <w:sz w:val="20"/>
                <w:szCs w:val="20"/>
              </w:rPr>
              <w:t xml:space="preserve">Component</w:t>
            </w:r>
          </w:p>
        </w:tc>
        <w:tc>
          <w:tcPr>
            <w:tcW w:type="dxa" w:w="1600"/>
            <w:shd w:fill="0C447C" w:color="0C447C" w:val="clear"/>
            <w:vAlign w:val="center"/>
          </w:tcPr>
          <w:p>
            <w:pPr>
              <w:jc w:val="center"/>
            </w:pPr>
            <w:r>
              <w:rPr>
                <w:rFonts w:ascii="Calibri" w:cs="Calibri" w:eastAsia="Calibri" w:hAnsi="Calibri"/>
                <w:b/>
                <w:bCs/>
                <w:color w:val="FFFFFF"/>
                <w:sz w:val="20"/>
                <w:szCs w:val="20"/>
              </w:rPr>
              <w:t xml:space="preserve">Weight</w:t>
            </w:r>
          </w:p>
        </w:tc>
        <w:tc>
          <w:tcPr>
            <w:tcW w:type="dxa" w:w="4600"/>
            <w:shd w:fill="0C447C" w:color="0C447C" w:val="clear"/>
            <w:vAlign w:val="center"/>
          </w:tcPr>
          <w:p>
            <w:pPr>
              <w:jc w:val="center"/>
            </w:pPr>
            <w:r>
              <w:rPr>
                <w:rFonts w:ascii="Calibri" w:cs="Calibri" w:eastAsia="Calibri" w:hAnsi="Calibri"/>
                <w:b/>
                <w:bCs/>
                <w:color w:val="FFFFFF"/>
                <w:sz w:val="20"/>
                <w:szCs w:val="20"/>
              </w:rPr>
              <w:t xml:space="preserve">Rationale</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IsActiveMember</w:t>
            </w:r>
          </w:p>
        </w:tc>
        <w:tc>
          <w:tcPr>
            <w:tcW w:type="dxa" w:w="1600"/>
            <w:shd w:fill="F0F5FB" w:color="F0F5FB" w:val="clear"/>
            <w:vAlign w:val="center"/>
          </w:tcPr>
          <w:p>
            <w:pPr>
              <w:jc w:val="center"/>
            </w:pPr>
            <w:r>
              <w:rPr>
                <w:rFonts w:ascii="Calibri" w:cs="Calibri" w:eastAsia="Calibri" w:hAnsi="Calibri"/>
                <w:color w:val="2C2C2A"/>
                <w:sz w:val="20"/>
                <w:szCs w:val="20"/>
              </w:rPr>
              <w:t xml:space="preserve">×40 pts</w:t>
            </w:r>
          </w:p>
        </w:tc>
        <w:tc>
          <w:tcPr>
            <w:tcW w:type="dxa" w:w="4600"/>
            <w:shd w:fill="F0F5FB" w:color="F0F5FB" w:val="clear"/>
            <w:vAlign w:val="center"/>
          </w:tcPr>
          <w:p>
            <w:pPr>
              <w:jc w:val="center"/>
            </w:pPr>
            <w:r>
              <w:rPr>
                <w:rFonts w:ascii="Calibri" w:cs="Calibri" w:eastAsia="Calibri" w:hAnsi="Calibri"/>
                <w:color w:val="2C2C2A"/>
                <w:sz w:val="20"/>
                <w:szCs w:val="20"/>
              </w:rPr>
              <w:t xml:space="preserve">Strongest individual churn predictor</w:t>
            </w:r>
          </w:p>
        </w:tc>
      </w:tr>
      <w:tr>
        <w:tc>
          <w:tcPr>
            <w:tcW w:type="dxa" w:w="2800"/>
            <w:shd w:fill="FFFFFF" w:color="FFFFFF" w:val="clear"/>
            <w:vAlign w:val="center"/>
          </w:tcPr>
          <w:p>
            <w:pPr>
              <w:jc w:val="left"/>
            </w:pPr>
            <w:r>
              <w:rPr>
                <w:rFonts w:ascii="Calibri" w:cs="Calibri" w:eastAsia="Calibri" w:hAnsi="Calibri"/>
                <w:color w:val="2C2C2A"/>
                <w:sz w:val="20"/>
                <w:szCs w:val="20"/>
              </w:rPr>
              <w:t xml:space="preserve">NumOfProducts (capped at 2)</w:t>
            </w:r>
          </w:p>
        </w:tc>
        <w:tc>
          <w:tcPr>
            <w:tcW w:type="dxa" w:w="1600"/>
            <w:shd w:fill="FFFFFF" w:color="FFFFFF" w:val="clear"/>
            <w:vAlign w:val="center"/>
          </w:tcPr>
          <w:p>
            <w:pPr>
              <w:jc w:val="center"/>
            </w:pPr>
            <w:r>
              <w:rPr>
                <w:rFonts w:ascii="Calibri" w:cs="Calibri" w:eastAsia="Calibri" w:hAnsi="Calibri"/>
                <w:color w:val="2C2C2A"/>
                <w:sz w:val="20"/>
                <w:szCs w:val="20"/>
              </w:rPr>
              <w:t xml:space="preserve">×20 pts (≤40)</w:t>
            </w:r>
          </w:p>
        </w:tc>
        <w:tc>
          <w:tcPr>
            <w:tcW w:type="dxa" w:w="4600"/>
            <w:shd w:fill="FFFFFF" w:color="FFFFFF" w:val="clear"/>
            <w:vAlign w:val="center"/>
          </w:tcPr>
          <w:p>
            <w:pPr>
              <w:jc w:val="center"/>
            </w:pPr>
            <w:r>
              <w:rPr>
                <w:rFonts w:ascii="Calibri" w:cs="Calibri" w:eastAsia="Calibri" w:hAnsi="Calibri"/>
                <w:color w:val="2C2C2A"/>
                <w:sz w:val="20"/>
                <w:szCs w:val="20"/>
              </w:rPr>
              <w:t xml:space="preserve">Optimal range; 3–4 signals over-selling</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HasCrCard</w:t>
            </w:r>
          </w:p>
        </w:tc>
        <w:tc>
          <w:tcPr>
            <w:tcW w:type="dxa" w:w="1600"/>
            <w:shd w:fill="F0F5FB" w:color="F0F5FB" w:val="clear"/>
            <w:vAlign w:val="center"/>
          </w:tcPr>
          <w:p>
            <w:pPr>
              <w:jc w:val="center"/>
            </w:pPr>
            <w:r>
              <w:rPr>
                <w:rFonts w:ascii="Calibri" w:cs="Calibri" w:eastAsia="Calibri" w:hAnsi="Calibri"/>
                <w:color w:val="2C2C2A"/>
                <w:sz w:val="20"/>
                <w:szCs w:val="20"/>
              </w:rPr>
              <w:t xml:space="preserve">×10 pts</w:t>
            </w:r>
          </w:p>
        </w:tc>
        <w:tc>
          <w:tcPr>
            <w:tcW w:type="dxa" w:w="4600"/>
            <w:shd w:fill="F0F5FB" w:color="F0F5FB" w:val="clear"/>
            <w:vAlign w:val="center"/>
          </w:tcPr>
          <w:p>
            <w:pPr>
              <w:jc w:val="center"/>
            </w:pPr>
            <w:r>
              <w:rPr>
                <w:rFonts w:ascii="Calibri" w:cs="Calibri" w:eastAsia="Calibri" w:hAnsi="Calibri"/>
                <w:color w:val="2C2C2A"/>
                <w:sz w:val="20"/>
                <w:szCs w:val="20"/>
              </w:rPr>
              <w:t xml:space="preserve">Moderate stickiness indicator</w:t>
            </w:r>
          </w:p>
        </w:tc>
      </w:tr>
      <w:tr>
        <w:tc>
          <w:tcPr>
            <w:tcW w:type="dxa" w:w="2800"/>
            <w:shd w:fill="FFFFFF" w:color="FFFFFF" w:val="clear"/>
            <w:vAlign w:val="center"/>
          </w:tcPr>
          <w:p>
            <w:pPr>
              <w:jc w:val="left"/>
            </w:pPr>
            <w:r>
              <w:rPr>
                <w:rFonts w:ascii="Calibri" w:cs="Calibri" w:eastAsia="Calibri" w:hAnsi="Calibri"/>
                <w:color w:val="2C2C2A"/>
                <w:sz w:val="20"/>
                <w:szCs w:val="20"/>
              </w:rPr>
              <w:t xml:space="preserve">Tenure (capped at 10 yrs)</w:t>
            </w:r>
          </w:p>
        </w:tc>
        <w:tc>
          <w:tcPr>
            <w:tcW w:type="dxa" w:w="1600"/>
            <w:shd w:fill="FFFFFF" w:color="FFFFFF" w:val="clear"/>
            <w:vAlign w:val="center"/>
          </w:tcPr>
          <w:p>
            <w:pPr>
              <w:jc w:val="center"/>
            </w:pPr>
            <w:r>
              <w:rPr>
                <w:rFonts w:ascii="Calibri" w:cs="Calibri" w:eastAsia="Calibri" w:hAnsi="Calibri"/>
                <w:color w:val="2C2C2A"/>
                <w:sz w:val="20"/>
                <w:szCs w:val="20"/>
              </w:rPr>
              <w:t xml:space="preserve">×3 pts (≤30)</w:t>
            </w:r>
          </w:p>
        </w:tc>
        <w:tc>
          <w:tcPr>
            <w:tcW w:type="dxa" w:w="4600"/>
            <w:shd w:fill="FFFFFF" w:color="FFFFFF" w:val="clear"/>
            <w:vAlign w:val="center"/>
          </w:tcPr>
          <w:p>
            <w:pPr>
              <w:jc w:val="center"/>
            </w:pPr>
            <w:r>
              <w:rPr>
                <w:rFonts w:ascii="Calibri" w:cs="Calibri" w:eastAsia="Calibri" w:hAnsi="Calibri"/>
                <w:color w:val="2C2C2A"/>
                <w:sz w:val="20"/>
                <w:szCs w:val="20"/>
              </w:rPr>
              <w:t xml:space="preserve">Relationship longevity proxy</w:t>
            </w:r>
          </w:p>
        </w:tc>
      </w:tr>
    </w:tbl>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RSI Tiers: Low (&lt; 50) | Medium (50–79) | High (≥ 80)</w:t>
      </w:r>
    </w:p>
    <w:p>
      <w:pPr>
        <w:spacing w:after="40" w:before="40"/>
      </w:pPr>
      <w:r>
        <w:t xml:space="preserve"/>
      </w:r>
    </w:p>
    <w:p>
      <w:pPr>
        <w:spacing w:after="40" w:before="40"/>
      </w:pPr>
      <w:r>
        <w:t xml:space="preserve"/>
      </w:r>
    </w:p>
    <w:p>
      <w:pPr>
        <w:pStyle w:val="Heading1"/>
        <w:pBdr>
          <w:bottom w:val="single" w:color="185FA5" w:sz="8" w:space="4"/>
        </w:pBdr>
        <w:spacing w:after="120" w:before="360"/>
        <w:rPr>
          <w:rFonts w:ascii="Calibri" w:cs="Calibri" w:eastAsia="Calibri" w:hAnsi="Calibri"/>
          <w:b/>
          <w:bCs/>
          <w:color w:val="0C447C"/>
          <w:sz w:val="28"/>
          <w:szCs w:val="28"/>
        </w:rPr>
      </w:pPr>
      <w:r>
        <w:t xml:space="preserve">3. Exploratory Data Analysis — Key Findings</w:t>
      </w:r>
    </w:p>
    <w:p>
      <w:pPr>
        <w:pStyle w:val="Heading2"/>
        <w:spacing w:after="80" w:before="240"/>
        <w:rPr>
          <w:rFonts w:ascii="Calibri" w:cs="Calibri" w:eastAsia="Calibri" w:hAnsi="Calibri"/>
          <w:b/>
          <w:bCs/>
          <w:color w:val="185FA5"/>
          <w:sz w:val="24"/>
          <w:szCs w:val="24"/>
        </w:rPr>
      </w:pPr>
      <w:r>
        <w:t xml:space="preserve">3.1 Engagement vs Churn</w:t>
      </w:r>
    </w:p>
    <w:p>
      <w:pPr>
        <w:shd w:fill="EBF3FB" w:color="EBF3FB" w:val="clear"/>
        <w:spacing w:after="60" w:before="60"/>
        <w:ind w:left="200" w:right="200"/>
      </w:pPr>
      <w:r>
        <w:rPr>
          <w:rFonts w:ascii="Calibri" w:cs="Calibri" w:eastAsia="Calibri" w:hAnsi="Calibri"/>
          <w:b/>
          <w:bCs/>
          <w:color w:val="0C447C"/>
          <w:sz w:val="22"/>
          <w:szCs w:val="22"/>
        </w:rPr>
        <w:t xml:space="preserve">Overall churn rate: </w:t>
      </w:r>
      <w:r>
        <w:rPr>
          <w:rFonts w:ascii="Calibri" w:cs="Calibri" w:eastAsia="Calibri" w:hAnsi="Calibri"/>
          <w:b/>
          <w:bCs/>
          <w:color w:val="A32D2D"/>
          <w:sz w:val="22"/>
          <w:szCs w:val="22"/>
        </w:rPr>
        <w:t xml:space="preserve">20.4%</w:t>
      </w:r>
      <w:r>
        <w:rPr>
          <w:rFonts w:ascii="Calibri" w:cs="Calibri" w:eastAsia="Calibri" w:hAnsi="Calibri"/>
          <w:i/>
          <w:iCs/>
          <w:color w:val="5F5E5A"/>
          <w:sz w:val="20"/>
          <w:szCs w:val="20"/>
        </w:rPr>
        <w:t xml:space="preserve">  (2,037 of 10,000 customers)</w:t>
      </w:r>
    </w:p>
    <w:p>
      <w:pPr>
        <w:shd w:fill="EBF3FB" w:color="EBF3FB" w:val="clear"/>
        <w:spacing w:after="60" w:before="60"/>
        <w:ind w:left="200" w:right="200"/>
      </w:pPr>
      <w:r>
        <w:rPr>
          <w:rFonts w:ascii="Calibri" w:cs="Calibri" w:eastAsia="Calibri" w:hAnsi="Calibri"/>
          <w:b/>
          <w:bCs/>
          <w:color w:val="0C447C"/>
          <w:sz w:val="22"/>
          <w:szCs w:val="22"/>
        </w:rPr>
        <w:t xml:space="preserve">Active member churn rate: </w:t>
      </w:r>
      <w:r>
        <w:rPr>
          <w:rFonts w:ascii="Calibri" w:cs="Calibri" w:eastAsia="Calibri" w:hAnsi="Calibri"/>
          <w:b/>
          <w:bCs/>
          <w:color w:val="A32D2D"/>
          <w:sz w:val="22"/>
          <w:szCs w:val="22"/>
        </w:rPr>
        <w:t xml:space="preserve">14.3%</w:t>
      </w:r>
      <w:r>
        <w:rPr>
          <w:rFonts w:ascii="Calibri" w:cs="Calibri" w:eastAsia="Calibri" w:hAnsi="Calibri"/>
          <w:i/>
          <w:iCs/>
          <w:color w:val="5F5E5A"/>
          <w:sz w:val="20"/>
          <w:szCs w:val="20"/>
        </w:rPr>
        <w:t xml:space="preserve">  (vs 26.9% for inactive members)</w:t>
      </w:r>
    </w:p>
    <w:p>
      <w:pPr>
        <w:shd w:fill="EBF3FB" w:color="EBF3FB" w:val="clear"/>
        <w:spacing w:after="60" w:before="60"/>
        <w:ind w:left="200" w:right="200"/>
      </w:pPr>
      <w:r>
        <w:rPr>
          <w:rFonts w:ascii="Calibri" w:cs="Calibri" w:eastAsia="Calibri" w:hAnsi="Calibri"/>
          <w:b/>
          <w:bCs/>
          <w:color w:val="0C447C"/>
          <w:sz w:val="22"/>
          <w:szCs w:val="22"/>
        </w:rPr>
        <w:t xml:space="preserve">Engagement retention ratio: </w:t>
      </w:r>
      <w:r>
        <w:rPr>
          <w:rFonts w:ascii="Calibri" w:cs="Calibri" w:eastAsia="Calibri" w:hAnsi="Calibri"/>
          <w:b/>
          <w:bCs/>
          <w:color w:val="A32D2D"/>
          <w:sz w:val="22"/>
          <w:szCs w:val="22"/>
        </w:rPr>
        <w:t xml:space="preserve">1.88×</w:t>
      </w:r>
      <w:r>
        <w:rPr>
          <w:rFonts w:ascii="Calibri" w:cs="Calibri" w:eastAsia="Calibri" w:hAnsi="Calibri"/>
          <w:i/>
          <w:iCs/>
          <w:color w:val="5F5E5A"/>
          <w:sz w:val="20"/>
          <w:szCs w:val="20"/>
        </w:rPr>
        <w:t xml:space="preserve">  (inactive churn is 1.88× active churn)</w:t>
      </w:r>
    </w:p>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The activity indicator is the single most discriminating binary variable in the dataset. The 12.6 percentage point gap between active and inactive churn rates (14.3% vs 26.9%) confirms that behavioral engagement — not balance or salary — is the primary retention lever. This finding has direct implications for CRM strategy: re-engagement campaigns targeting the 4,849 inactive members should be the first priority.</w:t>
      </w:r>
    </w:p>
    <w:p>
      <w:pPr>
        <w:pStyle w:val="Heading2"/>
        <w:spacing w:after="80" w:before="240"/>
        <w:rPr>
          <w:rFonts w:ascii="Calibri" w:cs="Calibri" w:eastAsia="Calibri" w:hAnsi="Calibri"/>
          <w:b/>
          <w:bCs/>
          <w:color w:val="185FA5"/>
          <w:sz w:val="24"/>
          <w:szCs w:val="24"/>
        </w:rPr>
      </w:pPr>
      <w:r>
        <w:t xml:space="preserve">3.2 Product Utilization Analysis</w:t>
      </w:r>
    </w:p>
    <w:p>
      <w:pPr>
        <w:shd w:fill="EBF3FB" w:color="EBF3FB" w:val="clear"/>
        <w:spacing w:after="60" w:before="60"/>
        <w:ind w:left="200" w:right="200"/>
      </w:pPr>
      <w:r>
        <w:rPr>
          <w:rFonts w:ascii="Calibri" w:cs="Calibri" w:eastAsia="Calibri" w:hAnsi="Calibri"/>
          <w:b/>
          <w:bCs/>
          <w:color w:val="0C447C"/>
          <w:sz w:val="22"/>
          <w:szCs w:val="22"/>
        </w:rPr>
        <w:t xml:space="preserve">1-product churn rate: </w:t>
      </w:r>
      <w:r>
        <w:rPr>
          <w:rFonts w:ascii="Calibri" w:cs="Calibri" w:eastAsia="Calibri" w:hAnsi="Calibri"/>
          <w:b/>
          <w:bCs/>
          <w:color w:val="A32D2D"/>
          <w:sz w:val="22"/>
          <w:szCs w:val="22"/>
        </w:rPr>
        <w:t xml:space="preserve">27.7%</w:t>
      </w:r>
      <w:r>
        <w:rPr>
          <w:rFonts w:ascii="Calibri" w:cs="Calibri" w:eastAsia="Calibri" w:hAnsi="Calibri"/>
          <w:i/>
          <w:iCs/>
          <w:color w:val="5F5E5A"/>
          <w:sz w:val="20"/>
          <w:szCs w:val="20"/>
        </w:rPr>
        <w:t xml:space="preserve">  (5,084 customers — highest volume risk)</w:t>
      </w:r>
    </w:p>
    <w:p>
      <w:pPr>
        <w:shd w:fill="EBF3FB" w:color="EBF3FB" w:val="clear"/>
        <w:spacing w:after="60" w:before="60"/>
        <w:ind w:left="200" w:right="200"/>
      </w:pPr>
      <w:r>
        <w:rPr>
          <w:rFonts w:ascii="Calibri" w:cs="Calibri" w:eastAsia="Calibri" w:hAnsi="Calibri"/>
          <w:b/>
          <w:bCs/>
          <w:color w:val="0C447C"/>
          <w:sz w:val="22"/>
          <w:szCs w:val="22"/>
        </w:rPr>
        <w:t xml:space="preserve">2-product churn rate: </w:t>
      </w:r>
      <w:r>
        <w:rPr>
          <w:rFonts w:ascii="Calibri" w:cs="Calibri" w:eastAsia="Calibri" w:hAnsi="Calibri"/>
          <w:b/>
          <w:bCs/>
          <w:color w:val="A32D2D"/>
          <w:sz w:val="22"/>
          <w:szCs w:val="22"/>
        </w:rPr>
        <w:t xml:space="preserve">7.6%</w:t>
      </w:r>
      <w:r>
        <w:rPr>
          <w:rFonts w:ascii="Calibri" w:cs="Calibri" w:eastAsia="Calibri" w:hAnsi="Calibri"/>
          <w:i/>
          <w:iCs/>
          <w:color w:val="5F5E5A"/>
          <w:sz w:val="20"/>
          <w:szCs w:val="20"/>
        </w:rPr>
        <w:t xml:space="preserve">  (4,590 customers — optimal retention)</w:t>
      </w:r>
    </w:p>
    <w:p>
      <w:pPr>
        <w:shd w:fill="EBF3FB" w:color="EBF3FB" w:val="clear"/>
        <w:spacing w:after="60" w:before="60"/>
        <w:ind w:left="200" w:right="200"/>
      </w:pPr>
      <w:r>
        <w:rPr>
          <w:rFonts w:ascii="Calibri" w:cs="Calibri" w:eastAsia="Calibri" w:hAnsi="Calibri"/>
          <w:b/>
          <w:bCs/>
          <w:color w:val="0C447C"/>
          <w:sz w:val="22"/>
          <w:szCs w:val="22"/>
        </w:rPr>
        <w:t xml:space="preserve">3-product churn rate: </w:t>
      </w:r>
      <w:r>
        <w:rPr>
          <w:rFonts w:ascii="Calibri" w:cs="Calibri" w:eastAsia="Calibri" w:hAnsi="Calibri"/>
          <w:b/>
          <w:bCs/>
          <w:color w:val="A32D2D"/>
          <w:sz w:val="22"/>
          <w:szCs w:val="22"/>
        </w:rPr>
        <w:t xml:space="preserve">82.7%</w:t>
      </w:r>
      <w:r>
        <w:rPr>
          <w:rFonts w:ascii="Calibri" w:cs="Calibri" w:eastAsia="Calibri" w:hAnsi="Calibri"/>
          <w:i/>
          <w:iCs/>
          <w:color w:val="5F5E5A"/>
          <w:sz w:val="20"/>
          <w:szCs w:val="20"/>
        </w:rPr>
        <w:t xml:space="preserve">  (266 customers — over-sold segment)</w:t>
      </w:r>
    </w:p>
    <w:p>
      <w:pPr>
        <w:shd w:fill="EBF3FB" w:color="EBF3FB" w:val="clear"/>
        <w:spacing w:after="60" w:before="60"/>
        <w:ind w:left="200" w:right="200"/>
      </w:pPr>
      <w:r>
        <w:rPr>
          <w:rFonts w:ascii="Calibri" w:cs="Calibri" w:eastAsia="Calibri" w:hAnsi="Calibri"/>
          <w:b/>
          <w:bCs/>
          <w:color w:val="0C447C"/>
          <w:sz w:val="22"/>
          <w:szCs w:val="22"/>
        </w:rPr>
        <w:t xml:space="preserve">4-product churn rate: </w:t>
      </w:r>
      <w:r>
        <w:rPr>
          <w:rFonts w:ascii="Calibri" w:cs="Calibri" w:eastAsia="Calibri" w:hAnsi="Calibri"/>
          <w:b/>
          <w:bCs/>
          <w:color w:val="A32D2D"/>
          <w:sz w:val="22"/>
          <w:szCs w:val="22"/>
        </w:rPr>
        <w:t xml:space="preserve">100.0%</w:t>
      </w:r>
      <w:r>
        <w:rPr>
          <w:rFonts w:ascii="Calibri" w:cs="Calibri" w:eastAsia="Calibri" w:hAnsi="Calibri"/>
          <w:i/>
          <w:iCs/>
          <w:color w:val="5F5E5A"/>
          <w:sz w:val="20"/>
          <w:szCs w:val="20"/>
        </w:rPr>
        <w:t xml:space="preserve">  (60 customers — universal exit)</w:t>
      </w:r>
    </w:p>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The product-churn relationship is markedly non-linear. The 1→2 product transition delivers an extraordinary 20.1 percentage point churn reduction, representing the single highest-ROI retention intervention available. However, the 3–4 product segments exhibit catastrophic churn rates, likely reflecting customers who were over-sold and subsequently disengaged. This 'inverted U' pattern has critical implications for cross-sell strategy: bundles should be capped at 2 products.</w:t>
      </w:r>
    </w:p>
    <w:p>
      <w:pPr>
        <w:pStyle w:val="Heading2"/>
        <w:spacing w:after="80" w:before="240"/>
        <w:rPr>
          <w:rFonts w:ascii="Calibri" w:cs="Calibri" w:eastAsia="Calibri" w:hAnsi="Calibri"/>
          <w:b/>
          <w:bCs/>
          <w:color w:val="185FA5"/>
          <w:sz w:val="24"/>
          <w:szCs w:val="24"/>
        </w:rPr>
      </w:pPr>
      <w:r>
        <w:t xml:space="preserve">3.3 Geographic Distribution</w:t>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gridCol w:w="100"/>
      </w:tblGrid>
      <w:tr>
        <w:trPr>
          <w:tblHeader/>
        </w:trPr>
        <w:tc>
          <w:tcPr>
            <w:tcW w:type="dxa" w:w="2200"/>
            <w:shd w:fill="0C447C" w:color="0C447C" w:val="clear"/>
            <w:vAlign w:val="center"/>
          </w:tcPr>
          <w:p>
            <w:pPr>
              <w:jc w:val="center"/>
            </w:pPr>
            <w:r>
              <w:rPr>
                <w:rFonts w:ascii="Calibri" w:cs="Calibri" w:eastAsia="Calibri" w:hAnsi="Calibri"/>
                <w:b/>
                <w:bCs/>
                <w:color w:val="FFFFFF"/>
                <w:sz w:val="20"/>
                <w:szCs w:val="20"/>
              </w:rPr>
              <w:t xml:space="preserve">Geography</w:t>
            </w:r>
          </w:p>
        </w:tc>
        <w:tc>
          <w:tcPr>
            <w:tcW w:type="dxa" w:w="1800"/>
            <w:shd w:fill="0C447C" w:color="0C447C" w:val="clear"/>
            <w:vAlign w:val="center"/>
          </w:tcPr>
          <w:p>
            <w:pPr>
              <w:jc w:val="center"/>
            </w:pPr>
            <w:r>
              <w:rPr>
                <w:rFonts w:ascii="Calibri" w:cs="Calibri" w:eastAsia="Calibri" w:hAnsi="Calibri"/>
                <w:b/>
                <w:bCs/>
                <w:color w:val="FFFFFF"/>
                <w:sz w:val="20"/>
                <w:szCs w:val="20"/>
              </w:rPr>
              <w:t xml:space="preserve">Customers</w:t>
            </w:r>
          </w:p>
        </w:tc>
        <w:tc>
          <w:tcPr>
            <w:tcW w:type="dxa" w:w="1800"/>
            <w:shd w:fill="0C447C" w:color="0C447C" w:val="clear"/>
            <w:vAlign w:val="center"/>
          </w:tcPr>
          <w:p>
            <w:pPr>
              <w:jc w:val="center"/>
            </w:pPr>
            <w:r>
              <w:rPr>
                <w:rFonts w:ascii="Calibri" w:cs="Calibri" w:eastAsia="Calibri" w:hAnsi="Calibri"/>
                <w:b/>
                <w:bCs/>
                <w:color w:val="FFFFFF"/>
                <w:sz w:val="20"/>
                <w:szCs w:val="20"/>
              </w:rPr>
              <w:t xml:space="preserve">Churn Rate</w:t>
            </w:r>
          </w:p>
        </w:tc>
        <w:tc>
          <w:tcPr>
            <w:tcW w:type="dxa" w:w="2200"/>
            <w:shd w:fill="0C447C" w:color="0C447C" w:val="clear"/>
            <w:vAlign w:val="center"/>
          </w:tcPr>
          <w:p>
            <w:pPr>
              <w:jc w:val="center"/>
            </w:pPr>
            <w:r>
              <w:rPr>
                <w:rFonts w:ascii="Calibri" w:cs="Calibri" w:eastAsia="Calibri" w:hAnsi="Calibri"/>
                <w:b/>
                <w:bCs/>
                <w:color w:val="FFFFFF"/>
                <w:sz w:val="20"/>
                <w:szCs w:val="20"/>
              </w:rPr>
              <w:t xml:space="preserve">vs Average</w:t>
            </w:r>
          </w:p>
        </w:tc>
      </w:tr>
      <w:tr>
        <w:tc>
          <w:tcPr>
            <w:tcW w:type="dxa" w:w="2200"/>
            <w:shd w:fill="F0F5FB" w:color="F0F5FB" w:val="clear"/>
            <w:vAlign w:val="center"/>
          </w:tcPr>
          <w:p>
            <w:pPr>
              <w:jc w:val="left"/>
            </w:pPr>
            <w:r>
              <w:rPr>
                <w:rFonts w:ascii="Calibri" w:cs="Calibri" w:eastAsia="Calibri" w:hAnsi="Calibri"/>
                <w:color w:val="2C2C2A"/>
                <w:sz w:val="20"/>
                <w:szCs w:val="20"/>
              </w:rPr>
              <w:t xml:space="preserve">France</w:t>
            </w:r>
          </w:p>
        </w:tc>
        <w:tc>
          <w:tcPr>
            <w:tcW w:type="dxa" w:w="1800"/>
            <w:shd w:fill="F0F5FB" w:color="F0F5FB" w:val="clear"/>
            <w:vAlign w:val="center"/>
          </w:tcPr>
          <w:p>
            <w:pPr>
              <w:jc w:val="center"/>
            </w:pPr>
            <w:r>
              <w:rPr>
                <w:rFonts w:ascii="Calibri" w:cs="Calibri" w:eastAsia="Calibri" w:hAnsi="Calibri"/>
                <w:color w:val="2C2C2A"/>
                <w:sz w:val="20"/>
                <w:szCs w:val="20"/>
              </w:rPr>
              <w:t xml:space="preserve">5,014</w:t>
            </w:r>
          </w:p>
        </w:tc>
        <w:tc>
          <w:tcPr>
            <w:tcW w:type="dxa" w:w="1800"/>
            <w:shd w:fill="F0F5FB" w:color="F0F5FB" w:val="clear"/>
            <w:vAlign w:val="center"/>
          </w:tcPr>
          <w:p>
            <w:pPr>
              <w:jc w:val="center"/>
            </w:pPr>
            <w:r>
              <w:rPr>
                <w:rFonts w:ascii="Calibri" w:cs="Calibri" w:eastAsia="Calibri" w:hAnsi="Calibri"/>
                <w:color w:val="2C2C2A"/>
                <w:sz w:val="20"/>
                <w:szCs w:val="20"/>
              </w:rPr>
              <w:t xml:space="preserve">16.2%</w:t>
            </w:r>
          </w:p>
        </w:tc>
        <w:tc>
          <w:tcPr>
            <w:tcW w:type="dxa" w:w="2200"/>
            <w:shd w:fill="F0F5FB" w:color="F0F5FB" w:val="clear"/>
            <w:vAlign w:val="center"/>
          </w:tcPr>
          <w:p>
            <w:pPr>
              <w:jc w:val="center"/>
            </w:pPr>
            <w:r>
              <w:rPr>
                <w:rFonts w:ascii="Calibri" w:cs="Calibri" w:eastAsia="Calibri" w:hAnsi="Calibri"/>
                <w:color w:val="2C2C2A"/>
                <w:sz w:val="20"/>
                <w:szCs w:val="20"/>
              </w:rPr>
              <w:t xml:space="preserve">−4.2pp below average</w:t>
            </w:r>
          </w:p>
        </w:tc>
      </w:tr>
      <w:tr>
        <w:tc>
          <w:tcPr>
            <w:tcW w:type="dxa" w:w="2200"/>
            <w:shd w:fill="FFFFFF" w:color="FFFFFF" w:val="clear"/>
            <w:vAlign w:val="center"/>
          </w:tcPr>
          <w:p>
            <w:pPr>
              <w:jc w:val="left"/>
            </w:pPr>
            <w:r>
              <w:rPr>
                <w:rFonts w:ascii="Calibri" w:cs="Calibri" w:eastAsia="Calibri" w:hAnsi="Calibri"/>
                <w:color w:val="2C2C2A"/>
                <w:sz w:val="20"/>
                <w:szCs w:val="20"/>
              </w:rPr>
              <w:t xml:space="preserve">Spain</w:t>
            </w:r>
          </w:p>
        </w:tc>
        <w:tc>
          <w:tcPr>
            <w:tcW w:type="dxa" w:w="1800"/>
            <w:shd w:fill="FFFFFF" w:color="FFFFFF" w:val="clear"/>
            <w:vAlign w:val="center"/>
          </w:tcPr>
          <w:p>
            <w:pPr>
              <w:jc w:val="center"/>
            </w:pPr>
            <w:r>
              <w:rPr>
                <w:rFonts w:ascii="Calibri" w:cs="Calibri" w:eastAsia="Calibri" w:hAnsi="Calibri"/>
                <w:color w:val="2C2C2A"/>
                <w:sz w:val="20"/>
                <w:szCs w:val="20"/>
              </w:rPr>
              <w:t xml:space="preserve">2,477</w:t>
            </w:r>
          </w:p>
        </w:tc>
        <w:tc>
          <w:tcPr>
            <w:tcW w:type="dxa" w:w="1800"/>
            <w:shd w:fill="FFFFFF" w:color="FFFFFF" w:val="clear"/>
            <w:vAlign w:val="center"/>
          </w:tcPr>
          <w:p>
            <w:pPr>
              <w:jc w:val="center"/>
            </w:pPr>
            <w:r>
              <w:rPr>
                <w:rFonts w:ascii="Calibri" w:cs="Calibri" w:eastAsia="Calibri" w:hAnsi="Calibri"/>
                <w:color w:val="2C2C2A"/>
                <w:sz w:val="20"/>
                <w:szCs w:val="20"/>
              </w:rPr>
              <w:t xml:space="preserve">16.7%</w:t>
            </w:r>
          </w:p>
        </w:tc>
        <w:tc>
          <w:tcPr>
            <w:tcW w:type="dxa" w:w="2200"/>
            <w:shd w:fill="FFFFFF" w:color="FFFFFF" w:val="clear"/>
            <w:vAlign w:val="center"/>
          </w:tcPr>
          <w:p>
            <w:pPr>
              <w:jc w:val="center"/>
            </w:pPr>
            <w:r>
              <w:rPr>
                <w:rFonts w:ascii="Calibri" w:cs="Calibri" w:eastAsia="Calibri" w:hAnsi="Calibri"/>
                <w:color w:val="2C2C2A"/>
                <w:sz w:val="20"/>
                <w:szCs w:val="20"/>
              </w:rPr>
              <w:t xml:space="preserve">−3.7pp below average</w:t>
            </w:r>
          </w:p>
        </w:tc>
      </w:tr>
      <w:tr>
        <w:tc>
          <w:tcPr>
            <w:tcW w:type="dxa" w:w="2200"/>
            <w:shd w:fill="F0F5FB" w:color="F0F5FB" w:val="clear"/>
            <w:vAlign w:val="center"/>
          </w:tcPr>
          <w:p>
            <w:pPr>
              <w:jc w:val="left"/>
            </w:pPr>
            <w:r>
              <w:rPr>
                <w:rFonts w:ascii="Calibri" w:cs="Calibri" w:eastAsia="Calibri" w:hAnsi="Calibri"/>
                <w:color w:val="2C2C2A"/>
                <w:sz w:val="20"/>
                <w:szCs w:val="20"/>
              </w:rPr>
              <w:t xml:space="preserve">Germany</w:t>
            </w:r>
          </w:p>
        </w:tc>
        <w:tc>
          <w:tcPr>
            <w:tcW w:type="dxa" w:w="1800"/>
            <w:shd w:fill="F0F5FB" w:color="F0F5FB" w:val="clear"/>
            <w:vAlign w:val="center"/>
          </w:tcPr>
          <w:p>
            <w:pPr>
              <w:jc w:val="center"/>
            </w:pPr>
            <w:r>
              <w:rPr>
                <w:rFonts w:ascii="Calibri" w:cs="Calibri" w:eastAsia="Calibri" w:hAnsi="Calibri"/>
                <w:color w:val="2C2C2A"/>
                <w:sz w:val="20"/>
                <w:szCs w:val="20"/>
              </w:rPr>
              <w:t xml:space="preserve">2,509</w:t>
            </w:r>
          </w:p>
        </w:tc>
        <w:tc>
          <w:tcPr>
            <w:tcW w:type="dxa" w:w="1800"/>
            <w:shd w:fill="F0F5FB" w:color="F0F5FB" w:val="clear"/>
            <w:vAlign w:val="center"/>
          </w:tcPr>
          <w:p>
            <w:pPr>
              <w:jc w:val="center"/>
            </w:pPr>
            <w:r>
              <w:rPr>
                <w:rFonts w:ascii="Calibri" w:cs="Calibri" w:eastAsia="Calibri" w:hAnsi="Calibri"/>
                <w:color w:val="2C2C2A"/>
                <w:sz w:val="20"/>
                <w:szCs w:val="20"/>
              </w:rPr>
              <w:t xml:space="preserve">32.4%</w:t>
            </w:r>
          </w:p>
        </w:tc>
        <w:tc>
          <w:tcPr>
            <w:tcW w:type="dxa" w:w="2200"/>
            <w:shd w:fill="F0F5FB" w:color="F0F5FB" w:val="clear"/>
            <w:vAlign w:val="center"/>
          </w:tcPr>
          <w:p>
            <w:pPr>
              <w:jc w:val="center"/>
            </w:pPr>
            <w:r>
              <w:rPr>
                <w:rFonts w:ascii="Calibri" w:cs="Calibri" w:eastAsia="Calibri" w:hAnsi="Calibri"/>
                <w:color w:val="2C2C2A"/>
                <w:sz w:val="20"/>
                <w:szCs w:val="20"/>
              </w:rPr>
              <w:t xml:space="preserve">+12.0pp above average</w:t>
            </w:r>
          </w:p>
        </w:tc>
      </w:tr>
    </w:tbl>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Germany presents a statistically significant churn anomaly — at 32.4%, German customers exit at twice the rate of French and Spanish customers. This cannot be explained by product distribution alone and likely reflects market-specific factors including competitive dynamics, product-market fit, or service quality issues in the German segment.</w:t>
      </w:r>
    </w:p>
    <w:p>
      <w:pPr>
        <w:pStyle w:val="Heading2"/>
        <w:spacing w:after="80" w:before="240"/>
        <w:rPr>
          <w:rFonts w:ascii="Calibri" w:cs="Calibri" w:eastAsia="Calibri" w:hAnsi="Calibri"/>
          <w:b/>
          <w:bCs/>
          <w:color w:val="185FA5"/>
          <w:sz w:val="24"/>
          <w:szCs w:val="24"/>
        </w:rPr>
      </w:pPr>
      <w:r>
        <w:t xml:space="preserve">3.4 Age Cohort Analysis</w:t>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gridCol w:w="100"/>
      </w:tblGrid>
      <w:tr>
        <w:trPr>
          <w:tblHeader/>
        </w:trPr>
        <w:tc>
          <w:tcPr>
            <w:tcW w:type="dxa" w:w="1800"/>
            <w:shd w:fill="0C447C" w:color="0C447C" w:val="clear"/>
            <w:vAlign w:val="center"/>
          </w:tcPr>
          <w:p>
            <w:pPr>
              <w:jc w:val="center"/>
            </w:pPr>
            <w:r>
              <w:rPr>
                <w:rFonts w:ascii="Calibri" w:cs="Calibri" w:eastAsia="Calibri" w:hAnsi="Calibri"/>
                <w:b/>
                <w:bCs/>
                <w:color w:val="FFFFFF"/>
                <w:sz w:val="20"/>
                <w:szCs w:val="20"/>
              </w:rPr>
              <w:t xml:space="preserve">Age Group</w:t>
            </w:r>
          </w:p>
        </w:tc>
        <w:tc>
          <w:tcPr>
            <w:tcW w:type="dxa" w:w="1800"/>
            <w:shd w:fill="0C447C" w:color="0C447C" w:val="clear"/>
            <w:vAlign w:val="center"/>
          </w:tcPr>
          <w:p>
            <w:pPr>
              <w:jc w:val="center"/>
            </w:pPr>
            <w:r>
              <w:rPr>
                <w:rFonts w:ascii="Calibri" w:cs="Calibri" w:eastAsia="Calibri" w:hAnsi="Calibri"/>
                <w:b/>
                <w:bCs/>
                <w:color w:val="FFFFFF"/>
                <w:sz w:val="20"/>
                <w:szCs w:val="20"/>
              </w:rPr>
              <w:t xml:space="preserve">Customers</w:t>
            </w:r>
          </w:p>
        </w:tc>
        <w:tc>
          <w:tcPr>
            <w:tcW w:type="dxa" w:w="1800"/>
            <w:shd w:fill="0C447C" w:color="0C447C" w:val="clear"/>
            <w:vAlign w:val="center"/>
          </w:tcPr>
          <w:p>
            <w:pPr>
              <w:jc w:val="center"/>
            </w:pPr>
            <w:r>
              <w:rPr>
                <w:rFonts w:ascii="Calibri" w:cs="Calibri" w:eastAsia="Calibri" w:hAnsi="Calibri"/>
                <w:b/>
                <w:bCs/>
                <w:color w:val="FFFFFF"/>
                <w:sz w:val="20"/>
                <w:szCs w:val="20"/>
              </w:rPr>
              <w:t xml:space="preserve">Churn Rate</w:t>
            </w:r>
          </w:p>
        </w:tc>
        <w:tc>
          <w:tcPr>
            <w:tcW w:type="dxa" w:w="2600"/>
            <w:shd w:fill="0C447C" w:color="0C447C" w:val="clear"/>
            <w:vAlign w:val="center"/>
          </w:tcPr>
          <w:p>
            <w:pPr>
              <w:jc w:val="center"/>
            </w:pPr>
            <w:r>
              <w:rPr>
                <w:rFonts w:ascii="Calibri" w:cs="Calibri" w:eastAsia="Calibri" w:hAnsi="Calibri"/>
                <w:b/>
                <w:bCs/>
                <w:color w:val="FFFFFF"/>
                <w:sz w:val="20"/>
                <w:szCs w:val="20"/>
              </w:rPr>
              <w:t xml:space="preserve">Risk Level</w:t>
            </w:r>
          </w:p>
        </w:tc>
      </w:tr>
      <w:tr>
        <w:tc>
          <w:tcPr>
            <w:tcW w:type="dxa" w:w="1800"/>
            <w:shd w:fill="F0F5FB" w:color="F0F5FB" w:val="clear"/>
            <w:vAlign w:val="center"/>
          </w:tcPr>
          <w:p>
            <w:pPr>
              <w:jc w:val="left"/>
            </w:pPr>
            <w:r>
              <w:rPr>
                <w:rFonts w:ascii="Calibri" w:cs="Calibri" w:eastAsia="Calibri" w:hAnsi="Calibri"/>
                <w:color w:val="2C2C2A"/>
                <w:sz w:val="20"/>
                <w:szCs w:val="20"/>
              </w:rPr>
              <w:t xml:space="preserve">18–30</w:t>
            </w:r>
          </w:p>
        </w:tc>
        <w:tc>
          <w:tcPr>
            <w:tcW w:type="dxa" w:w="1800"/>
            <w:shd w:fill="F0F5FB" w:color="F0F5FB" w:val="clear"/>
            <w:vAlign w:val="center"/>
          </w:tcPr>
          <w:p>
            <w:pPr>
              <w:jc w:val="center"/>
            </w:pPr>
            <w:r>
              <w:rPr>
                <w:rFonts w:ascii="Calibri" w:cs="Calibri" w:eastAsia="Calibri" w:hAnsi="Calibri"/>
                <w:color w:val="2C2C2A"/>
                <w:sz w:val="20"/>
                <w:szCs w:val="20"/>
              </w:rPr>
              <w:t xml:space="preserve">1,968</w:t>
            </w:r>
          </w:p>
        </w:tc>
        <w:tc>
          <w:tcPr>
            <w:tcW w:type="dxa" w:w="1800"/>
            <w:shd w:fill="F0F5FB" w:color="F0F5FB" w:val="clear"/>
            <w:vAlign w:val="center"/>
          </w:tcPr>
          <w:p>
            <w:pPr>
              <w:jc w:val="center"/>
            </w:pPr>
            <w:r>
              <w:rPr>
                <w:rFonts w:ascii="Calibri" w:cs="Calibri" w:eastAsia="Calibri" w:hAnsi="Calibri"/>
                <w:color w:val="2C2C2A"/>
                <w:sz w:val="20"/>
                <w:szCs w:val="20"/>
              </w:rPr>
              <w:t xml:space="preserve">7.5%</w:t>
            </w:r>
          </w:p>
        </w:tc>
        <w:tc>
          <w:tcPr>
            <w:tcW w:type="dxa" w:w="2600"/>
            <w:shd w:fill="F0F5FB" w:color="F0F5FB" w:val="clear"/>
            <w:vAlign w:val="center"/>
          </w:tcPr>
          <w:p>
            <w:pPr>
              <w:jc w:val="center"/>
            </w:pPr>
            <w:r>
              <w:rPr>
                <w:rFonts w:ascii="Calibri" w:cs="Calibri" w:eastAsia="Calibri" w:hAnsi="Calibri"/>
                <w:color w:val="2C2C2A"/>
                <w:sz w:val="20"/>
                <w:szCs w:val="20"/>
              </w:rPr>
              <w:t xml:space="preserve">Low</w:t>
            </w:r>
          </w:p>
        </w:tc>
      </w:tr>
      <w:tr>
        <w:tc>
          <w:tcPr>
            <w:tcW w:type="dxa" w:w="1800"/>
            <w:shd w:fill="FFFFFF" w:color="FFFFFF" w:val="clear"/>
            <w:vAlign w:val="center"/>
          </w:tcPr>
          <w:p>
            <w:pPr>
              <w:jc w:val="left"/>
            </w:pPr>
            <w:r>
              <w:rPr>
                <w:rFonts w:ascii="Calibri" w:cs="Calibri" w:eastAsia="Calibri" w:hAnsi="Calibri"/>
                <w:color w:val="2C2C2A"/>
                <w:sz w:val="20"/>
                <w:szCs w:val="20"/>
              </w:rPr>
              <w:t xml:space="preserve">31–40</w:t>
            </w:r>
          </w:p>
        </w:tc>
        <w:tc>
          <w:tcPr>
            <w:tcW w:type="dxa" w:w="1800"/>
            <w:shd w:fill="FFFFFF" w:color="FFFFFF" w:val="clear"/>
            <w:vAlign w:val="center"/>
          </w:tcPr>
          <w:p>
            <w:pPr>
              <w:jc w:val="center"/>
            </w:pPr>
            <w:r>
              <w:rPr>
                <w:rFonts w:ascii="Calibri" w:cs="Calibri" w:eastAsia="Calibri" w:hAnsi="Calibri"/>
                <w:color w:val="2C2C2A"/>
                <w:sz w:val="20"/>
                <w:szCs w:val="20"/>
              </w:rPr>
              <w:t xml:space="preserve">4,451</w:t>
            </w:r>
          </w:p>
        </w:tc>
        <w:tc>
          <w:tcPr>
            <w:tcW w:type="dxa" w:w="1800"/>
            <w:shd w:fill="FFFFFF" w:color="FFFFFF" w:val="clear"/>
            <w:vAlign w:val="center"/>
          </w:tcPr>
          <w:p>
            <w:pPr>
              <w:jc w:val="center"/>
            </w:pPr>
            <w:r>
              <w:rPr>
                <w:rFonts w:ascii="Calibri" w:cs="Calibri" w:eastAsia="Calibri" w:hAnsi="Calibri"/>
                <w:color w:val="2C2C2A"/>
                <w:sz w:val="20"/>
                <w:szCs w:val="20"/>
              </w:rPr>
              <w:t xml:space="preserve">12.1%</w:t>
            </w:r>
          </w:p>
        </w:tc>
        <w:tc>
          <w:tcPr>
            <w:tcW w:type="dxa" w:w="2600"/>
            <w:shd w:fill="FFFFFF" w:color="FFFFFF" w:val="clear"/>
            <w:vAlign w:val="center"/>
          </w:tcPr>
          <w:p>
            <w:pPr>
              <w:jc w:val="center"/>
            </w:pPr>
            <w:r>
              <w:rPr>
                <w:rFonts w:ascii="Calibri" w:cs="Calibri" w:eastAsia="Calibri" w:hAnsi="Calibri"/>
                <w:color w:val="2C2C2A"/>
                <w:sz w:val="20"/>
                <w:szCs w:val="20"/>
              </w:rPr>
              <w:t xml:space="preserve">Low-Medium</w:t>
            </w:r>
          </w:p>
        </w:tc>
      </w:tr>
      <w:tr>
        <w:tc>
          <w:tcPr>
            <w:tcW w:type="dxa" w:w="1800"/>
            <w:shd w:fill="F0F5FB" w:color="F0F5FB" w:val="clear"/>
            <w:vAlign w:val="center"/>
          </w:tcPr>
          <w:p>
            <w:pPr>
              <w:jc w:val="left"/>
            </w:pPr>
            <w:r>
              <w:rPr>
                <w:rFonts w:ascii="Calibri" w:cs="Calibri" w:eastAsia="Calibri" w:hAnsi="Calibri"/>
                <w:color w:val="2C2C2A"/>
                <w:sz w:val="20"/>
                <w:szCs w:val="20"/>
              </w:rPr>
              <w:t xml:space="preserve">41–50</w:t>
            </w:r>
          </w:p>
        </w:tc>
        <w:tc>
          <w:tcPr>
            <w:tcW w:type="dxa" w:w="1800"/>
            <w:shd w:fill="F0F5FB" w:color="F0F5FB" w:val="clear"/>
            <w:vAlign w:val="center"/>
          </w:tcPr>
          <w:p>
            <w:pPr>
              <w:jc w:val="center"/>
            </w:pPr>
            <w:r>
              <w:rPr>
                <w:rFonts w:ascii="Calibri" w:cs="Calibri" w:eastAsia="Calibri" w:hAnsi="Calibri"/>
                <w:color w:val="2C2C2A"/>
                <w:sz w:val="20"/>
                <w:szCs w:val="20"/>
              </w:rPr>
              <w:t xml:space="preserve">2,320</w:t>
            </w:r>
          </w:p>
        </w:tc>
        <w:tc>
          <w:tcPr>
            <w:tcW w:type="dxa" w:w="1800"/>
            <w:shd w:fill="F0F5FB" w:color="F0F5FB" w:val="clear"/>
            <w:vAlign w:val="center"/>
          </w:tcPr>
          <w:p>
            <w:pPr>
              <w:jc w:val="center"/>
            </w:pPr>
            <w:r>
              <w:rPr>
                <w:rFonts w:ascii="Calibri" w:cs="Calibri" w:eastAsia="Calibri" w:hAnsi="Calibri"/>
                <w:color w:val="2C2C2A"/>
                <w:sz w:val="20"/>
                <w:szCs w:val="20"/>
              </w:rPr>
              <w:t xml:space="preserve">34.0%</w:t>
            </w:r>
          </w:p>
        </w:tc>
        <w:tc>
          <w:tcPr>
            <w:tcW w:type="dxa" w:w="2600"/>
            <w:shd w:fill="F0F5FB" w:color="F0F5FB" w:val="clear"/>
            <w:vAlign w:val="center"/>
          </w:tcPr>
          <w:p>
            <w:pPr>
              <w:jc w:val="center"/>
            </w:pPr>
            <w:r>
              <w:rPr>
                <w:rFonts w:ascii="Calibri" w:cs="Calibri" w:eastAsia="Calibri" w:hAnsi="Calibri"/>
                <w:color w:val="2C2C2A"/>
                <w:sz w:val="20"/>
                <w:szCs w:val="20"/>
              </w:rPr>
              <w:t xml:space="preserve">High</w:t>
            </w:r>
          </w:p>
        </w:tc>
      </w:tr>
      <w:tr>
        <w:tc>
          <w:tcPr>
            <w:tcW w:type="dxa" w:w="1800"/>
            <w:shd w:fill="FFFFFF" w:color="FFFFFF" w:val="clear"/>
            <w:vAlign w:val="center"/>
          </w:tcPr>
          <w:p>
            <w:pPr>
              <w:jc w:val="left"/>
            </w:pPr>
            <w:r>
              <w:rPr>
                <w:rFonts w:ascii="Calibri" w:cs="Calibri" w:eastAsia="Calibri" w:hAnsi="Calibri"/>
                <w:color w:val="2C2C2A"/>
                <w:sz w:val="20"/>
                <w:szCs w:val="20"/>
              </w:rPr>
              <w:t xml:space="preserve">51–60</w:t>
            </w:r>
          </w:p>
        </w:tc>
        <w:tc>
          <w:tcPr>
            <w:tcW w:type="dxa" w:w="1800"/>
            <w:shd w:fill="FFFFFF" w:color="FFFFFF" w:val="clear"/>
            <w:vAlign w:val="center"/>
          </w:tcPr>
          <w:p>
            <w:pPr>
              <w:jc w:val="center"/>
            </w:pPr>
            <w:r>
              <w:rPr>
                <w:rFonts w:ascii="Calibri" w:cs="Calibri" w:eastAsia="Calibri" w:hAnsi="Calibri"/>
                <w:color w:val="2C2C2A"/>
                <w:sz w:val="20"/>
                <w:szCs w:val="20"/>
              </w:rPr>
              <w:t xml:space="preserve">797</w:t>
            </w:r>
          </w:p>
        </w:tc>
        <w:tc>
          <w:tcPr>
            <w:tcW w:type="dxa" w:w="1800"/>
            <w:shd w:fill="FFFFFF" w:color="FFFFFF" w:val="clear"/>
            <w:vAlign w:val="center"/>
          </w:tcPr>
          <w:p>
            <w:pPr>
              <w:jc w:val="center"/>
            </w:pPr>
            <w:r>
              <w:rPr>
                <w:rFonts w:ascii="Calibri" w:cs="Calibri" w:eastAsia="Calibri" w:hAnsi="Calibri"/>
                <w:color w:val="2C2C2A"/>
                <w:sz w:val="20"/>
                <w:szCs w:val="20"/>
              </w:rPr>
              <w:t xml:space="preserve">56.2%</w:t>
            </w:r>
          </w:p>
        </w:tc>
        <w:tc>
          <w:tcPr>
            <w:tcW w:type="dxa" w:w="2600"/>
            <w:shd w:fill="FFFFFF" w:color="FFFFFF" w:val="clear"/>
            <w:vAlign w:val="center"/>
          </w:tcPr>
          <w:p>
            <w:pPr>
              <w:jc w:val="center"/>
            </w:pPr>
            <w:r>
              <w:rPr>
                <w:rFonts w:ascii="Calibri" w:cs="Calibri" w:eastAsia="Calibri" w:hAnsi="Calibri"/>
                <w:color w:val="2C2C2A"/>
                <w:sz w:val="20"/>
                <w:szCs w:val="20"/>
              </w:rPr>
              <w:t xml:space="preserve">Critical</w:t>
            </w:r>
          </w:p>
        </w:tc>
      </w:tr>
      <w:tr>
        <w:tc>
          <w:tcPr>
            <w:tcW w:type="dxa" w:w="1800"/>
            <w:shd w:fill="F0F5FB" w:color="F0F5FB" w:val="clear"/>
            <w:vAlign w:val="center"/>
          </w:tcPr>
          <w:p>
            <w:pPr>
              <w:jc w:val="left"/>
            </w:pPr>
            <w:r>
              <w:rPr>
                <w:rFonts w:ascii="Calibri" w:cs="Calibri" w:eastAsia="Calibri" w:hAnsi="Calibri"/>
                <w:color w:val="2C2C2A"/>
                <w:sz w:val="20"/>
                <w:szCs w:val="20"/>
              </w:rPr>
              <w:t xml:space="preserve">60+</w:t>
            </w:r>
          </w:p>
        </w:tc>
        <w:tc>
          <w:tcPr>
            <w:tcW w:type="dxa" w:w="1800"/>
            <w:shd w:fill="F0F5FB" w:color="F0F5FB" w:val="clear"/>
            <w:vAlign w:val="center"/>
          </w:tcPr>
          <w:p>
            <w:pPr>
              <w:jc w:val="center"/>
            </w:pPr>
            <w:r>
              <w:rPr>
                <w:rFonts w:ascii="Calibri" w:cs="Calibri" w:eastAsia="Calibri" w:hAnsi="Calibri"/>
                <w:color w:val="2C2C2A"/>
                <w:sz w:val="20"/>
                <w:szCs w:val="20"/>
              </w:rPr>
              <w:t xml:space="preserve">464</w:t>
            </w:r>
          </w:p>
        </w:tc>
        <w:tc>
          <w:tcPr>
            <w:tcW w:type="dxa" w:w="1800"/>
            <w:shd w:fill="F0F5FB" w:color="F0F5FB" w:val="clear"/>
            <w:vAlign w:val="center"/>
          </w:tcPr>
          <w:p>
            <w:pPr>
              <w:jc w:val="center"/>
            </w:pPr>
            <w:r>
              <w:rPr>
                <w:rFonts w:ascii="Calibri" w:cs="Calibri" w:eastAsia="Calibri" w:hAnsi="Calibri"/>
                <w:color w:val="2C2C2A"/>
                <w:sz w:val="20"/>
                <w:szCs w:val="20"/>
              </w:rPr>
              <w:t xml:space="preserve">24.8%</w:t>
            </w:r>
          </w:p>
        </w:tc>
        <w:tc>
          <w:tcPr>
            <w:tcW w:type="dxa" w:w="2600"/>
            <w:shd w:fill="F0F5FB" w:color="F0F5FB" w:val="clear"/>
            <w:vAlign w:val="center"/>
          </w:tcPr>
          <w:p>
            <w:pPr>
              <w:jc w:val="center"/>
            </w:pPr>
            <w:r>
              <w:rPr>
                <w:rFonts w:ascii="Calibri" w:cs="Calibri" w:eastAsia="Calibri" w:hAnsi="Calibri"/>
                <w:color w:val="2C2C2A"/>
                <w:sz w:val="20"/>
                <w:szCs w:val="20"/>
              </w:rPr>
              <w:t xml:space="preserve">Elevated</w:t>
            </w:r>
          </w:p>
        </w:tc>
      </w:tr>
    </w:tbl>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The 51–60 age cohort represents the most acute retention crisis: more than half of customers in this segment exit the bank. This cohort likely represents customers approaching retirement whose financial needs — wealth management, pension planning — are not being met by the bank's current product offering. The relatively lower churn of 60+ customers (24.8%) suggests those who do remain past 60 develop stronger loyalty.</w:t>
      </w:r>
    </w:p>
    <w:p>
      <w:pPr>
        <w:pStyle w:val="Heading2"/>
        <w:spacing w:after="80" w:before="240"/>
        <w:rPr>
          <w:rFonts w:ascii="Calibri" w:cs="Calibri" w:eastAsia="Calibri" w:hAnsi="Calibri"/>
          <w:b/>
          <w:bCs/>
          <w:color w:val="185FA5"/>
          <w:sz w:val="24"/>
          <w:szCs w:val="24"/>
        </w:rPr>
      </w:pPr>
      <w:r>
        <w:t xml:space="preserve">3.5 High-Value Disengaged Customer Segment</w:t>
      </w:r>
    </w:p>
    <w:p>
      <w:pPr>
        <w:shd w:fill="EBF3FB" w:color="EBF3FB" w:val="clear"/>
        <w:spacing w:after="60" w:before="60"/>
        <w:ind w:left="200" w:right="200"/>
      </w:pPr>
      <w:r>
        <w:rPr>
          <w:rFonts w:ascii="Calibri" w:cs="Calibri" w:eastAsia="Calibri" w:hAnsi="Calibri"/>
          <w:b/>
          <w:bCs/>
          <w:color w:val="0C447C"/>
          <w:sz w:val="22"/>
          <w:szCs w:val="22"/>
        </w:rPr>
        <w:t xml:space="preserve">High-balance (&gt;€100k) inactive customers: </w:t>
      </w:r>
      <w:r>
        <w:rPr>
          <w:rFonts w:ascii="Calibri" w:cs="Calibri" w:eastAsia="Calibri" w:hAnsi="Calibri"/>
          <w:b/>
          <w:bCs/>
          <w:color w:val="A32D2D"/>
          <w:sz w:val="22"/>
          <w:szCs w:val="22"/>
        </w:rPr>
        <w:t xml:space="preserve">2,356</w:t>
      </w:r>
      <w:r>
        <w:rPr>
          <w:rFonts w:ascii="Calibri" w:cs="Calibri" w:eastAsia="Calibri" w:hAnsi="Calibri"/>
          <w:i/>
          <w:iCs/>
          <w:color w:val="5F5E5A"/>
          <w:sz w:val="20"/>
          <w:szCs w:val="20"/>
        </w:rPr>
        <w:t xml:space="preserve">  (23.6% of total portfolio)</w:t>
      </w:r>
    </w:p>
    <w:p>
      <w:pPr>
        <w:shd w:fill="EBF3FB" w:color="EBF3FB" w:val="clear"/>
        <w:spacing w:after="60" w:before="60"/>
        <w:ind w:left="200" w:right="200"/>
      </w:pPr>
      <w:r>
        <w:rPr>
          <w:rFonts w:ascii="Calibri" w:cs="Calibri" w:eastAsia="Calibri" w:hAnsi="Calibri"/>
          <w:b/>
          <w:bCs/>
          <w:color w:val="0C447C"/>
          <w:sz w:val="22"/>
          <w:szCs w:val="22"/>
        </w:rPr>
        <w:t xml:space="preserve">Churn rate in this segment: </w:t>
      </w:r>
      <w:r>
        <w:rPr>
          <w:rFonts w:ascii="Calibri" w:cs="Calibri" w:eastAsia="Calibri" w:hAnsi="Calibri"/>
          <w:b/>
          <w:bCs/>
          <w:color w:val="A32D2D"/>
          <w:sz w:val="22"/>
          <w:szCs w:val="22"/>
        </w:rPr>
        <w:t xml:space="preserve">32.8%</w:t>
      </w:r>
      <w:r>
        <w:rPr>
          <w:rFonts w:ascii="Calibri" w:cs="Calibri" w:eastAsia="Calibri" w:hAnsi="Calibri"/>
          <w:i/>
          <w:iCs/>
          <w:color w:val="5F5E5A"/>
          <w:sz w:val="20"/>
          <w:szCs w:val="20"/>
        </w:rPr>
        <w:t xml:space="preserve">  (+12.4pp above overall average)</w:t>
      </w:r>
    </w:p>
    <w:p>
      <w:pPr>
        <w:shd w:fill="EBF3FB" w:color="EBF3FB" w:val="clear"/>
        <w:spacing w:after="60" w:before="60"/>
        <w:ind w:left="200" w:right="200"/>
      </w:pPr>
      <w:r>
        <w:rPr>
          <w:rFonts w:ascii="Calibri" w:cs="Calibri" w:eastAsia="Calibri" w:hAnsi="Calibri"/>
          <w:b/>
          <w:bCs/>
          <w:color w:val="0C447C"/>
          <w:sz w:val="22"/>
          <w:szCs w:val="22"/>
        </w:rPr>
        <w:t xml:space="preserve">Already churned: </w:t>
      </w:r>
      <w:r>
        <w:rPr>
          <w:rFonts w:ascii="Calibri" w:cs="Calibri" w:eastAsia="Calibri" w:hAnsi="Calibri"/>
          <w:b/>
          <w:bCs/>
          <w:color w:val="A32D2D"/>
          <w:sz w:val="22"/>
          <w:szCs w:val="22"/>
        </w:rPr>
        <w:t xml:space="preserve">772 customers</w:t>
      </w:r>
      <w:r>
        <w:rPr>
          <w:rFonts w:ascii="Calibri" w:cs="Calibri" w:eastAsia="Calibri" w:hAnsi="Calibri"/>
          <w:i/>
          <w:iCs/>
          <w:color w:val="5F5E5A"/>
          <w:sz w:val="20"/>
          <w:szCs w:val="20"/>
        </w:rPr>
        <w:t xml:space="preserve">  (high-value exits)</w:t>
      </w:r>
    </w:p>
    <w:p>
      <w:pPr>
        <w:shd w:fill="EBF3FB" w:color="EBF3FB" w:val="clear"/>
        <w:spacing w:after="60" w:before="60"/>
        <w:ind w:left="200" w:right="200"/>
      </w:pPr>
      <w:r>
        <w:rPr>
          <w:rFonts w:ascii="Calibri" w:cs="Calibri" w:eastAsia="Calibri" w:hAnsi="Calibri"/>
          <w:b/>
          <w:bCs/>
          <w:color w:val="0C447C"/>
          <w:sz w:val="22"/>
          <w:szCs w:val="22"/>
        </w:rPr>
        <w:t xml:space="preserve">Still retained (at-risk): </w:t>
      </w:r>
      <w:r>
        <w:rPr>
          <w:rFonts w:ascii="Calibri" w:cs="Calibri" w:eastAsia="Calibri" w:hAnsi="Calibri"/>
          <w:b/>
          <w:bCs/>
          <w:color w:val="A32D2D"/>
          <w:sz w:val="22"/>
          <w:szCs w:val="22"/>
        </w:rPr>
        <w:t xml:space="preserve">1,584 customers</w:t>
      </w:r>
      <w:r>
        <w:rPr>
          <w:rFonts w:ascii="Calibri" w:cs="Calibri" w:eastAsia="Calibri" w:hAnsi="Calibri"/>
          <w:i/>
          <w:iCs/>
          <w:color w:val="5F5E5A"/>
          <w:sz w:val="20"/>
          <w:szCs w:val="20"/>
        </w:rPr>
        <w:t xml:space="preserve">  (immediate rescue priority)</w:t>
      </w:r>
    </w:p>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This segment represents the bank's most valuable silent churn risk. Customers with balances exceeding €100,000 who have become behaviourally inactive are churning at 32.8% — yet they have above-average financial commitment as evidenced by their balances. The disconnect between financial depth and engagement is the defining characteristic of 'silent premium churn' and demands dedicated relationship management intervention.</w:t>
      </w:r>
    </w:p>
    <w:p>
      <w:pPr>
        <w:pStyle w:val="Heading2"/>
        <w:spacing w:after="80" w:before="240"/>
        <w:rPr>
          <w:rFonts w:ascii="Calibri" w:cs="Calibri" w:eastAsia="Calibri" w:hAnsi="Calibri"/>
          <w:b/>
          <w:bCs/>
          <w:color w:val="185FA5"/>
          <w:sz w:val="24"/>
          <w:szCs w:val="24"/>
        </w:rPr>
      </w:pPr>
      <w:r>
        <w:t xml:space="preserve">3.6 Relationship Strength Index Validation</w:t>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gridCol w:w="100"/>
      </w:tblGrid>
      <w:tr>
        <w:trPr>
          <w:tblHeader/>
        </w:trPr>
        <w:tc>
          <w:tcPr>
            <w:tcW w:type="dxa" w:w="2200"/>
            <w:shd w:fill="0C447C" w:color="0C447C" w:val="clear"/>
            <w:vAlign w:val="center"/>
          </w:tcPr>
          <w:p>
            <w:pPr>
              <w:jc w:val="center"/>
            </w:pPr>
            <w:r>
              <w:rPr>
                <w:rFonts w:ascii="Calibri" w:cs="Calibri" w:eastAsia="Calibri" w:hAnsi="Calibri"/>
                <w:b/>
                <w:bCs/>
                <w:color w:val="FFFFFF"/>
                <w:sz w:val="20"/>
                <w:szCs w:val="20"/>
              </w:rPr>
              <w:t xml:space="preserve">RSI Tier</w:t>
            </w:r>
          </w:p>
        </w:tc>
        <w:tc>
          <w:tcPr>
            <w:tcW w:type="dxa" w:w="1800"/>
            <w:shd w:fill="0C447C" w:color="0C447C" w:val="clear"/>
            <w:vAlign w:val="center"/>
          </w:tcPr>
          <w:p>
            <w:pPr>
              <w:jc w:val="center"/>
            </w:pPr>
            <w:r>
              <w:rPr>
                <w:rFonts w:ascii="Calibri" w:cs="Calibri" w:eastAsia="Calibri" w:hAnsi="Calibri"/>
                <w:b/>
                <w:bCs/>
                <w:color w:val="FFFFFF"/>
                <w:sz w:val="20"/>
                <w:szCs w:val="20"/>
              </w:rPr>
              <w:t xml:space="preserve">Customers</w:t>
            </w:r>
          </w:p>
        </w:tc>
        <w:tc>
          <w:tcPr>
            <w:tcW w:type="dxa" w:w="1800"/>
            <w:shd w:fill="0C447C" w:color="0C447C" w:val="clear"/>
            <w:vAlign w:val="center"/>
          </w:tcPr>
          <w:p>
            <w:pPr>
              <w:jc w:val="center"/>
            </w:pPr>
            <w:r>
              <w:rPr>
                <w:rFonts w:ascii="Calibri" w:cs="Calibri" w:eastAsia="Calibri" w:hAnsi="Calibri"/>
                <w:b/>
                <w:bCs/>
                <w:color w:val="FFFFFF"/>
                <w:sz w:val="20"/>
                <w:szCs w:val="20"/>
              </w:rPr>
              <w:t xml:space="preserve">Churn Rate</w:t>
            </w:r>
          </w:p>
        </w:tc>
        <w:tc>
          <w:tcPr>
            <w:tcW w:type="dxa" w:w="2200"/>
            <w:shd w:fill="0C447C" w:color="0C447C" w:val="clear"/>
            <w:vAlign w:val="center"/>
          </w:tcPr>
          <w:p>
            <w:pPr>
              <w:jc w:val="center"/>
            </w:pPr>
            <w:r>
              <w:rPr>
                <w:rFonts w:ascii="Calibri" w:cs="Calibri" w:eastAsia="Calibri" w:hAnsi="Calibri"/>
                <w:b/>
                <w:bCs/>
                <w:color w:val="FFFFFF"/>
                <w:sz w:val="20"/>
                <w:szCs w:val="20"/>
              </w:rPr>
              <w:t xml:space="preserve">Ratio to High RSI</w:t>
            </w:r>
          </w:p>
        </w:tc>
      </w:tr>
      <w:tr>
        <w:tc>
          <w:tcPr>
            <w:tcW w:type="dxa" w:w="2200"/>
            <w:shd w:fill="F0F5FB" w:color="F0F5FB" w:val="clear"/>
            <w:vAlign w:val="center"/>
          </w:tcPr>
          <w:p>
            <w:pPr>
              <w:jc w:val="left"/>
            </w:pPr>
            <w:r>
              <w:rPr>
                <w:rFonts w:ascii="Calibri" w:cs="Calibri" w:eastAsia="Calibri" w:hAnsi="Calibri"/>
                <w:color w:val="2C2C2A"/>
                <w:sz w:val="20"/>
                <w:szCs w:val="20"/>
              </w:rPr>
              <w:t xml:space="preserve">Low (RSI &lt; 50)</w:t>
            </w:r>
          </w:p>
        </w:tc>
        <w:tc>
          <w:tcPr>
            <w:tcW w:type="dxa" w:w="1800"/>
            <w:shd w:fill="F0F5FB" w:color="F0F5FB" w:val="clear"/>
            <w:vAlign w:val="center"/>
          </w:tcPr>
          <w:p>
            <w:pPr>
              <w:jc w:val="center"/>
            </w:pPr>
            <w:r>
              <w:rPr>
                <w:rFonts w:ascii="Calibri" w:cs="Calibri" w:eastAsia="Calibri" w:hAnsi="Calibri"/>
                <w:color w:val="2C2C2A"/>
                <w:sz w:val="20"/>
                <w:szCs w:val="20"/>
              </w:rPr>
              <w:t xml:space="preserve">2,057</w:t>
            </w:r>
          </w:p>
        </w:tc>
        <w:tc>
          <w:tcPr>
            <w:tcW w:type="dxa" w:w="1800"/>
            <w:shd w:fill="F0F5FB" w:color="F0F5FB" w:val="clear"/>
            <w:vAlign w:val="center"/>
          </w:tcPr>
          <w:p>
            <w:pPr>
              <w:jc w:val="center"/>
            </w:pPr>
            <w:r>
              <w:rPr>
                <w:rFonts w:ascii="Calibri" w:cs="Calibri" w:eastAsia="Calibri" w:hAnsi="Calibri"/>
                <w:color w:val="2C2C2A"/>
                <w:sz w:val="20"/>
                <w:szCs w:val="20"/>
              </w:rPr>
              <w:t xml:space="preserve">35.3%</w:t>
            </w:r>
          </w:p>
        </w:tc>
        <w:tc>
          <w:tcPr>
            <w:tcW w:type="dxa" w:w="2200"/>
            <w:shd w:fill="F0F5FB" w:color="F0F5FB" w:val="clear"/>
            <w:vAlign w:val="center"/>
          </w:tcPr>
          <w:p>
            <w:pPr>
              <w:jc w:val="center"/>
            </w:pPr>
            <w:r>
              <w:rPr>
                <w:rFonts w:ascii="Calibri" w:cs="Calibri" w:eastAsia="Calibri" w:hAnsi="Calibri"/>
                <w:color w:val="2C2C2A"/>
                <w:sz w:val="20"/>
                <w:szCs w:val="20"/>
              </w:rPr>
              <w:t xml:space="preserve">2.85×</w:t>
            </w:r>
          </w:p>
        </w:tc>
      </w:tr>
      <w:tr>
        <w:tc>
          <w:tcPr>
            <w:tcW w:type="dxa" w:w="2200"/>
            <w:shd w:fill="FFFFFF" w:color="FFFFFF" w:val="clear"/>
            <w:vAlign w:val="center"/>
          </w:tcPr>
          <w:p>
            <w:pPr>
              <w:jc w:val="left"/>
            </w:pPr>
            <w:r>
              <w:rPr>
                <w:rFonts w:ascii="Calibri" w:cs="Calibri" w:eastAsia="Calibri" w:hAnsi="Calibri"/>
                <w:color w:val="2C2C2A"/>
                <w:sz w:val="20"/>
                <w:szCs w:val="20"/>
              </w:rPr>
              <w:t xml:space="preserve">Medium (50–79)</w:t>
            </w:r>
          </w:p>
        </w:tc>
        <w:tc>
          <w:tcPr>
            <w:tcW w:type="dxa" w:w="1800"/>
            <w:shd w:fill="FFFFFF" w:color="FFFFFF" w:val="clear"/>
            <w:vAlign w:val="center"/>
          </w:tcPr>
          <w:p>
            <w:pPr>
              <w:jc w:val="center"/>
            </w:pPr>
            <w:r>
              <w:rPr>
                <w:rFonts w:ascii="Calibri" w:cs="Calibri" w:eastAsia="Calibri" w:hAnsi="Calibri"/>
                <w:color w:val="2C2C2A"/>
                <w:sz w:val="20"/>
                <w:szCs w:val="20"/>
              </w:rPr>
              <w:t xml:space="preserve">3,873</w:t>
            </w:r>
          </w:p>
        </w:tc>
        <w:tc>
          <w:tcPr>
            <w:tcW w:type="dxa" w:w="1800"/>
            <w:shd w:fill="FFFFFF" w:color="FFFFFF" w:val="clear"/>
            <w:vAlign w:val="center"/>
          </w:tcPr>
          <w:p>
            <w:pPr>
              <w:jc w:val="center"/>
            </w:pPr>
            <w:r>
              <w:rPr>
                <w:rFonts w:ascii="Calibri" w:cs="Calibri" w:eastAsia="Calibri" w:hAnsi="Calibri"/>
                <w:color w:val="2C2C2A"/>
                <w:sz w:val="20"/>
                <w:szCs w:val="20"/>
              </w:rPr>
              <w:t xml:space="preserve">20.8%</w:t>
            </w:r>
          </w:p>
        </w:tc>
        <w:tc>
          <w:tcPr>
            <w:tcW w:type="dxa" w:w="2200"/>
            <w:shd w:fill="FFFFFF" w:color="FFFFFF" w:val="clear"/>
            <w:vAlign w:val="center"/>
          </w:tcPr>
          <w:p>
            <w:pPr>
              <w:jc w:val="center"/>
            </w:pPr>
            <w:r>
              <w:rPr>
                <w:rFonts w:ascii="Calibri" w:cs="Calibri" w:eastAsia="Calibri" w:hAnsi="Calibri"/>
                <w:color w:val="2C2C2A"/>
                <w:sz w:val="20"/>
                <w:szCs w:val="20"/>
              </w:rPr>
              <w:t xml:space="preserve">1.68×</w:t>
            </w:r>
          </w:p>
        </w:tc>
      </w:tr>
      <w:tr>
        <w:tc>
          <w:tcPr>
            <w:tcW w:type="dxa" w:w="2200"/>
            <w:shd w:fill="F0F5FB" w:color="F0F5FB" w:val="clear"/>
            <w:vAlign w:val="center"/>
          </w:tcPr>
          <w:p>
            <w:pPr>
              <w:jc w:val="left"/>
            </w:pPr>
            <w:r>
              <w:rPr>
                <w:rFonts w:ascii="Calibri" w:cs="Calibri" w:eastAsia="Calibri" w:hAnsi="Calibri"/>
                <w:color w:val="2C2C2A"/>
                <w:sz w:val="20"/>
                <w:szCs w:val="20"/>
              </w:rPr>
              <w:t xml:space="preserve">High (RSI ≥ 80)</w:t>
            </w:r>
          </w:p>
        </w:tc>
        <w:tc>
          <w:tcPr>
            <w:tcW w:type="dxa" w:w="1800"/>
            <w:shd w:fill="F0F5FB" w:color="F0F5FB" w:val="clear"/>
            <w:vAlign w:val="center"/>
          </w:tcPr>
          <w:p>
            <w:pPr>
              <w:jc w:val="center"/>
            </w:pPr>
            <w:r>
              <w:rPr>
                <w:rFonts w:ascii="Calibri" w:cs="Calibri" w:eastAsia="Calibri" w:hAnsi="Calibri"/>
                <w:color w:val="2C2C2A"/>
                <w:sz w:val="20"/>
                <w:szCs w:val="20"/>
              </w:rPr>
              <w:t xml:space="preserve">4,070</w:t>
            </w:r>
          </w:p>
        </w:tc>
        <w:tc>
          <w:tcPr>
            <w:tcW w:type="dxa" w:w="1800"/>
            <w:shd w:fill="F0F5FB" w:color="F0F5FB" w:val="clear"/>
            <w:vAlign w:val="center"/>
          </w:tcPr>
          <w:p>
            <w:pPr>
              <w:jc w:val="center"/>
            </w:pPr>
            <w:r>
              <w:rPr>
                <w:rFonts w:ascii="Calibri" w:cs="Calibri" w:eastAsia="Calibri" w:hAnsi="Calibri"/>
                <w:color w:val="2C2C2A"/>
                <w:sz w:val="20"/>
                <w:szCs w:val="20"/>
              </w:rPr>
              <w:t xml:space="preserve">12.4%</w:t>
            </w:r>
          </w:p>
        </w:tc>
        <w:tc>
          <w:tcPr>
            <w:tcW w:type="dxa" w:w="2200"/>
            <w:shd w:fill="F0F5FB" w:color="F0F5FB" w:val="clear"/>
            <w:vAlign w:val="center"/>
          </w:tcPr>
          <w:p>
            <w:pPr>
              <w:jc w:val="center"/>
            </w:pPr>
            <w:r>
              <w:rPr>
                <w:rFonts w:ascii="Calibri" w:cs="Calibri" w:eastAsia="Calibri" w:hAnsi="Calibri"/>
                <w:color w:val="2C2C2A"/>
                <w:sz w:val="20"/>
                <w:szCs w:val="20"/>
              </w:rPr>
              <w:t xml:space="preserve">1.00×</w:t>
            </w:r>
          </w:p>
        </w:tc>
      </w:tr>
    </w:tbl>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The RSI demonstrates strong discriminatory power across three tiers. The monotonic decrease in churn rate from Low to High RSI (35.3% → 12.4%) validates the composite scoring approach. The 2.85× churn multiplier between Low and High RSI tiers establishes the index as an operationally viable early-warning tool for targeted retention outreach.</w:t>
      </w:r>
    </w:p>
    <w:p>
      <w:pPr>
        <w:spacing w:after="40" w:before="40"/>
      </w:pPr>
      <w:r>
        <w:t xml:space="preserve"/>
      </w:r>
    </w:p>
    <w:p>
      <w:pPr>
        <w:spacing w:after="40" w:before="40"/>
      </w:pPr>
      <w:r>
        <w:t xml:space="preserve"/>
      </w:r>
    </w:p>
    <w:p>
      <w:pPr>
        <w:pStyle w:val="Heading1"/>
        <w:pBdr>
          <w:bottom w:val="single" w:color="185FA5" w:sz="8" w:space="4"/>
        </w:pBdr>
        <w:spacing w:after="120" w:before="360"/>
        <w:rPr>
          <w:rFonts w:ascii="Calibri" w:cs="Calibri" w:eastAsia="Calibri" w:hAnsi="Calibri"/>
          <w:b/>
          <w:bCs/>
          <w:color w:val="0C447C"/>
          <w:sz w:val="28"/>
          <w:szCs w:val="28"/>
        </w:rPr>
      </w:pPr>
      <w:r>
        <w:t xml:space="preserve">4. KPI Dashboard Summary</w:t>
      </w:r>
    </w:p>
    <w:tbl>
      <w:tblPr>
        <w:tblW w:type="dxa" w:w="9000"/>
        <w:tblBorders>
          <w:top w:val="single" w:color="C5D8F0" w:sz="4"/>
          <w:left w:val="single" w:color="C5D8F0" w:sz="4"/>
          <w:bottom w:val="single" w:color="C5D8F0" w:sz="4"/>
          <w:right w:val="single" w:color="C5D8F0" w:sz="4"/>
          <w:insideH w:val="single" w:color="auto" w:sz="4"/>
          <w:insideV w:val="single" w:color="auto" w:sz="4"/>
        </w:tblBorders>
      </w:tblPr>
      <w:tblGrid>
        <w:gridCol w:w="100"/>
        <w:gridCol w:w="100"/>
        <w:gridCol w:w="100"/>
      </w:tblGrid>
      <w:tr>
        <w:trPr>
          <w:tblHeader/>
        </w:trPr>
        <w:tc>
          <w:tcPr>
            <w:tcW w:type="dxa" w:w="2800"/>
            <w:shd w:fill="0C447C" w:color="0C447C" w:val="clear"/>
            <w:vAlign w:val="center"/>
          </w:tcPr>
          <w:p>
            <w:pPr>
              <w:jc w:val="center"/>
            </w:pPr>
            <w:r>
              <w:rPr>
                <w:rFonts w:ascii="Calibri" w:cs="Calibri" w:eastAsia="Calibri" w:hAnsi="Calibri"/>
                <w:b/>
                <w:bCs/>
                <w:color w:val="FFFFFF"/>
                <w:sz w:val="20"/>
                <w:szCs w:val="20"/>
              </w:rPr>
              <w:t xml:space="preserve">KPI Name</w:t>
            </w:r>
          </w:p>
        </w:tc>
        <w:tc>
          <w:tcPr>
            <w:tcW w:type="dxa" w:w="3200"/>
            <w:shd w:fill="0C447C" w:color="0C447C" w:val="clear"/>
            <w:vAlign w:val="center"/>
          </w:tcPr>
          <w:p>
            <w:pPr>
              <w:jc w:val="center"/>
            </w:pPr>
            <w:r>
              <w:rPr>
                <w:rFonts w:ascii="Calibri" w:cs="Calibri" w:eastAsia="Calibri" w:hAnsi="Calibri"/>
                <w:b/>
                <w:bCs/>
                <w:color w:val="FFFFFF"/>
                <w:sz w:val="20"/>
                <w:szCs w:val="20"/>
              </w:rPr>
              <w:t xml:space="preserve">Definition</w:t>
            </w:r>
          </w:p>
        </w:tc>
        <w:tc>
          <w:tcPr>
            <w:tcW w:type="dxa" w:w="3000"/>
            <w:shd w:fill="0C447C" w:color="0C447C" w:val="clear"/>
            <w:vAlign w:val="center"/>
          </w:tcPr>
          <w:p>
            <w:pPr>
              <w:jc w:val="center"/>
            </w:pPr>
            <w:r>
              <w:rPr>
                <w:rFonts w:ascii="Calibri" w:cs="Calibri" w:eastAsia="Calibri" w:hAnsi="Calibri"/>
                <w:b/>
                <w:bCs/>
                <w:color w:val="FFFFFF"/>
                <w:sz w:val="20"/>
                <w:szCs w:val="20"/>
              </w:rPr>
              <w:t xml:space="preserve">Result</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Engagement Retention Ratio</w:t>
            </w:r>
          </w:p>
        </w:tc>
        <w:tc>
          <w:tcPr>
            <w:tcW w:type="dxa" w:w="3200"/>
            <w:shd w:fill="F0F5FB" w:color="F0F5FB" w:val="clear"/>
            <w:vAlign w:val="center"/>
          </w:tcPr>
          <w:p>
            <w:pPr>
              <w:jc w:val="center"/>
            </w:pPr>
            <w:r>
              <w:rPr>
                <w:rFonts w:ascii="Calibri" w:cs="Calibri" w:eastAsia="Calibri" w:hAnsi="Calibri"/>
                <w:color w:val="2C2C2A"/>
                <w:sz w:val="20"/>
                <w:szCs w:val="20"/>
              </w:rPr>
              <w:t xml:space="preserve">Active vs inactive churn comparison</w:t>
            </w:r>
          </w:p>
        </w:tc>
        <w:tc>
          <w:tcPr>
            <w:tcW w:type="dxa" w:w="3000"/>
            <w:shd w:fill="F0F5FB" w:color="F0F5FB" w:val="clear"/>
            <w:vAlign w:val="center"/>
          </w:tcPr>
          <w:p>
            <w:pPr>
              <w:jc w:val="center"/>
            </w:pPr>
            <w:r>
              <w:rPr>
                <w:rFonts w:ascii="Calibri" w:cs="Calibri" w:eastAsia="Calibri" w:hAnsi="Calibri"/>
                <w:color w:val="2C2C2A"/>
                <w:sz w:val="20"/>
                <w:szCs w:val="20"/>
              </w:rPr>
              <w:t xml:space="preserve">1.88× (26.9% / 14.3%)</w:t>
            </w:r>
          </w:p>
        </w:tc>
      </w:tr>
      <w:tr>
        <w:tc>
          <w:tcPr>
            <w:tcW w:type="dxa" w:w="2800"/>
            <w:shd w:fill="FFFFFF" w:color="FFFFFF" w:val="clear"/>
            <w:vAlign w:val="center"/>
          </w:tcPr>
          <w:p>
            <w:pPr>
              <w:jc w:val="left"/>
            </w:pPr>
            <w:r>
              <w:rPr>
                <w:rFonts w:ascii="Calibri" w:cs="Calibri" w:eastAsia="Calibri" w:hAnsi="Calibri"/>
                <w:color w:val="2C2C2A"/>
                <w:sz w:val="20"/>
                <w:szCs w:val="20"/>
              </w:rPr>
              <w:t xml:space="preserve">Product Depth Index</w:t>
            </w:r>
          </w:p>
        </w:tc>
        <w:tc>
          <w:tcPr>
            <w:tcW w:type="dxa" w:w="3200"/>
            <w:shd w:fill="FFFFFF" w:color="FFFFFF" w:val="clear"/>
            <w:vAlign w:val="center"/>
          </w:tcPr>
          <w:p>
            <w:pPr>
              <w:jc w:val="center"/>
            </w:pPr>
            <w:r>
              <w:rPr>
                <w:rFonts w:ascii="Calibri" w:cs="Calibri" w:eastAsia="Calibri" w:hAnsi="Calibri"/>
                <w:color w:val="2C2C2A"/>
                <w:sz w:val="20"/>
                <w:szCs w:val="20"/>
              </w:rPr>
              <w:t xml:space="preserve">1-product vs 2-product churn delta</w:t>
            </w:r>
          </w:p>
        </w:tc>
        <w:tc>
          <w:tcPr>
            <w:tcW w:type="dxa" w:w="3000"/>
            <w:shd w:fill="FFFFFF" w:color="FFFFFF" w:val="clear"/>
            <w:vAlign w:val="center"/>
          </w:tcPr>
          <w:p>
            <w:pPr>
              <w:jc w:val="center"/>
            </w:pPr>
            <w:r>
              <w:rPr>
                <w:rFonts w:ascii="Calibri" w:cs="Calibri" w:eastAsia="Calibri" w:hAnsi="Calibri"/>
                <w:color w:val="2C2C2A"/>
                <w:sz w:val="20"/>
                <w:szCs w:val="20"/>
              </w:rPr>
              <w:t xml:space="preserve">−20.1pp reduction</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High-Balance Disengagement Rate</w:t>
            </w:r>
          </w:p>
        </w:tc>
        <w:tc>
          <w:tcPr>
            <w:tcW w:type="dxa" w:w="3200"/>
            <w:shd w:fill="F0F5FB" w:color="F0F5FB" w:val="clear"/>
            <w:vAlign w:val="center"/>
          </w:tcPr>
          <w:p>
            <w:pPr>
              <w:jc w:val="center"/>
            </w:pPr>
            <w:r>
              <w:rPr>
                <w:rFonts w:ascii="Calibri" w:cs="Calibri" w:eastAsia="Calibri" w:hAnsi="Calibri"/>
                <w:color w:val="2C2C2A"/>
                <w:sz w:val="20"/>
                <w:szCs w:val="20"/>
              </w:rPr>
              <w:t xml:space="preserve">Premium churn risk (%)</w:t>
            </w:r>
          </w:p>
        </w:tc>
        <w:tc>
          <w:tcPr>
            <w:tcW w:type="dxa" w:w="3000"/>
            <w:shd w:fill="F0F5FB" w:color="F0F5FB" w:val="clear"/>
            <w:vAlign w:val="center"/>
          </w:tcPr>
          <w:p>
            <w:pPr>
              <w:jc w:val="center"/>
            </w:pPr>
            <w:r>
              <w:rPr>
                <w:rFonts w:ascii="Calibri" w:cs="Calibri" w:eastAsia="Calibri" w:hAnsi="Calibri"/>
                <w:color w:val="2C2C2A"/>
                <w:sz w:val="20"/>
                <w:szCs w:val="20"/>
              </w:rPr>
              <w:t xml:space="preserve">32.8% of high-bal. inactive</w:t>
            </w:r>
          </w:p>
        </w:tc>
      </w:tr>
      <w:tr>
        <w:tc>
          <w:tcPr>
            <w:tcW w:type="dxa" w:w="2800"/>
            <w:shd w:fill="FFFFFF" w:color="FFFFFF" w:val="clear"/>
            <w:vAlign w:val="center"/>
          </w:tcPr>
          <w:p>
            <w:pPr>
              <w:jc w:val="left"/>
            </w:pPr>
            <w:r>
              <w:rPr>
                <w:rFonts w:ascii="Calibri" w:cs="Calibri" w:eastAsia="Calibri" w:hAnsi="Calibri"/>
                <w:color w:val="2C2C2A"/>
                <w:sz w:val="20"/>
                <w:szCs w:val="20"/>
              </w:rPr>
              <w:t xml:space="preserve">Credit Card Stickiness Score</w:t>
            </w:r>
          </w:p>
        </w:tc>
        <w:tc>
          <w:tcPr>
            <w:tcW w:type="dxa" w:w="3200"/>
            <w:shd w:fill="FFFFFF" w:color="FFFFFF" w:val="clear"/>
            <w:vAlign w:val="center"/>
          </w:tcPr>
          <w:p>
            <w:pPr>
              <w:jc w:val="center"/>
            </w:pPr>
            <w:r>
              <w:rPr>
                <w:rFonts w:ascii="Calibri" w:cs="Calibri" w:eastAsia="Calibri" w:hAnsi="Calibri"/>
                <w:color w:val="2C2C2A"/>
                <w:sz w:val="20"/>
                <w:szCs w:val="20"/>
              </w:rPr>
              <w:t xml:space="preserve">With card vs without card churn delta</w:t>
            </w:r>
          </w:p>
        </w:tc>
        <w:tc>
          <w:tcPr>
            <w:tcW w:type="dxa" w:w="3000"/>
            <w:shd w:fill="FFFFFF" w:color="FFFFFF" w:val="clear"/>
            <w:vAlign w:val="center"/>
          </w:tcPr>
          <w:p>
            <w:pPr>
              <w:jc w:val="center"/>
            </w:pPr>
            <w:r>
              <w:rPr>
                <w:rFonts w:ascii="Calibri" w:cs="Calibri" w:eastAsia="Calibri" w:hAnsi="Calibri"/>
                <w:color w:val="2C2C2A"/>
                <w:sz w:val="20"/>
                <w:szCs w:val="20"/>
              </w:rPr>
              <w:t xml:space="preserve">−0.6pp (negligible)</w:t>
            </w:r>
          </w:p>
        </w:tc>
      </w:tr>
      <w:tr>
        <w:tc>
          <w:tcPr>
            <w:tcW w:type="dxa" w:w="2800"/>
            <w:shd w:fill="F0F5FB" w:color="F0F5FB" w:val="clear"/>
            <w:vAlign w:val="center"/>
          </w:tcPr>
          <w:p>
            <w:pPr>
              <w:jc w:val="left"/>
            </w:pPr>
            <w:r>
              <w:rPr>
                <w:rFonts w:ascii="Calibri" w:cs="Calibri" w:eastAsia="Calibri" w:hAnsi="Calibri"/>
                <w:color w:val="2C2C2A"/>
                <w:sz w:val="20"/>
                <w:szCs w:val="20"/>
              </w:rPr>
              <w:t xml:space="preserve">Relationship Strength Index</w:t>
            </w:r>
          </w:p>
        </w:tc>
        <w:tc>
          <w:tcPr>
            <w:tcW w:type="dxa" w:w="3200"/>
            <w:shd w:fill="F0F5FB" w:color="F0F5FB" w:val="clear"/>
            <w:vAlign w:val="center"/>
          </w:tcPr>
          <w:p>
            <w:pPr>
              <w:jc w:val="center"/>
            </w:pPr>
            <w:r>
              <w:rPr>
                <w:rFonts w:ascii="Calibri" w:cs="Calibri" w:eastAsia="Calibri" w:hAnsi="Calibri"/>
                <w:color w:val="2C2C2A"/>
                <w:sz w:val="20"/>
                <w:szCs w:val="20"/>
              </w:rPr>
              <w:t xml:space="preserve">RSI Low vs High churn delta</w:t>
            </w:r>
          </w:p>
        </w:tc>
        <w:tc>
          <w:tcPr>
            <w:tcW w:type="dxa" w:w="3000"/>
            <w:shd w:fill="F0F5FB" w:color="F0F5FB" w:val="clear"/>
            <w:vAlign w:val="center"/>
          </w:tcPr>
          <w:p>
            <w:pPr>
              <w:jc w:val="center"/>
            </w:pPr>
            <w:r>
              <w:rPr>
                <w:rFonts w:ascii="Calibri" w:cs="Calibri" w:eastAsia="Calibri" w:hAnsi="Calibri"/>
                <w:color w:val="2C2C2A"/>
                <w:sz w:val="20"/>
                <w:szCs w:val="20"/>
              </w:rPr>
              <w:t xml:space="preserve">2.85× (35.3% / 12.4%)</w:t>
            </w:r>
          </w:p>
        </w:tc>
      </w:tr>
    </w:tbl>
    <w:p>
      <w:pPr>
        <w:spacing w:after="40" w:before="40"/>
      </w:pPr>
      <w:r>
        <w:t xml:space="preserve"/>
      </w:r>
    </w:p>
    <w:p>
      <w:pPr>
        <w:spacing w:after="40" w:before="40"/>
      </w:pPr>
      <w:r>
        <w:t xml:space="preserve"/>
      </w:r>
    </w:p>
    <w:p>
      <w:pPr>
        <w:pStyle w:val="Heading1"/>
        <w:pBdr>
          <w:bottom w:val="single" w:color="185FA5" w:sz="8" w:space="4"/>
        </w:pBdr>
        <w:spacing w:after="120" w:before="360"/>
        <w:rPr>
          <w:rFonts w:ascii="Calibri" w:cs="Calibri" w:eastAsia="Calibri" w:hAnsi="Calibri"/>
          <w:b/>
          <w:bCs/>
          <w:color w:val="0C447C"/>
          <w:sz w:val="28"/>
          <w:szCs w:val="28"/>
        </w:rPr>
      </w:pPr>
      <w:r>
        <w:t xml:space="preserve">5. Strategic Recommendations</w:t>
      </w:r>
    </w:p>
    <w:p>
      <w:pPr>
        <w:pStyle w:val="Heading2"/>
        <w:spacing w:after="80" w:before="240"/>
        <w:rPr>
          <w:rFonts w:ascii="Calibri" w:cs="Calibri" w:eastAsia="Calibri" w:hAnsi="Calibri"/>
          <w:b/>
          <w:bCs/>
          <w:color w:val="185FA5"/>
          <w:sz w:val="24"/>
          <w:szCs w:val="24"/>
        </w:rPr>
      </w:pPr>
      <w:r>
        <w:t xml:space="preserve">5.1 Tier-1 Interventions (Immediate)</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Launch targeted cross-sell from 1→2 products: The 20pp churn reduction this delivers is the highest ROI action available. Focus on the 5,084 single-product customers. Pilot with active members first (18.9% churn → target &lt;10%).</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Rescue high-value inactive customers: Assign dedicated relationship managers to the 1,584 retained high-balance (&gt;€100k) inactive customers. ROI from saving even 20% of this segment is substantial given their average balance.</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Germany market intervention: Commission a market-specific diagnostic to understand the 32.4% churn rate. Survey recently churned German customers to identify product-market fit issues and competitive threats.</w:t>
      </w:r>
    </w:p>
    <w:p>
      <w:pPr>
        <w:pStyle w:val="Heading2"/>
        <w:spacing w:after="80" w:before="240"/>
        <w:rPr>
          <w:rFonts w:ascii="Calibri" w:cs="Calibri" w:eastAsia="Calibri" w:hAnsi="Calibri"/>
          <w:b/>
          <w:bCs/>
          <w:color w:val="185FA5"/>
          <w:sz w:val="24"/>
          <w:szCs w:val="24"/>
        </w:rPr>
      </w:pPr>
      <w:r>
        <w:t xml:space="preserve">5.2 Tier-2 Interventions (30–90 Days)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Age 51–60 product redesign: With 56.2% churn, this cohort needs tailored products — retirement planning, wealth management, or fixed-income products that address their life-stage financial needs.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Reactivation campaign for inactive members: The 4,849 inactive members at 26.9% churn represent the largest addressable risk pool. Digital re-engagement (app push notifications, personalised offers) can move members from inactive to active status.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Over-sold customer remediation: Identify the 326 customers with 3–4 products (100% churn in the 4-product segment) and proactively restructure their product portfolio to the 2-product optimal bundle.</w:t>
      </w:r>
    </w:p>
    <w:p>
      <w:pPr>
        <w:pStyle w:val="Heading2"/>
        <w:spacing w:after="80" w:before="240"/>
        <w:rPr>
          <w:rFonts w:ascii="Calibri" w:cs="Calibri" w:eastAsia="Calibri" w:hAnsi="Calibri"/>
          <w:b/>
          <w:bCs/>
          <w:color w:val="185FA5"/>
          <w:sz w:val="24"/>
          <w:szCs w:val="24"/>
        </w:rPr>
      </w:pPr>
      <w:r>
        <w:t xml:space="preserve">5.3 Tier-3 Interventions (Strategic)</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Embed RSI in CRM: Integrate the Relationship Strength Index into the bank's CRM system as an automated early-warning score. Flag customers whose RSI drops below 50 for proactive outreach within 30 days.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Female customer retention programme: Female customers churn at 25.1% vs 16.5% for males — an 8.6pp gap. Investigate whether product design, communication style, or service quality differences are driving this disparity.</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Product bundling policy: Institute a formal policy capping standard product cross-sell at 2 products per customer without a dedicated relationship manager review.</w:t>
      </w:r>
    </w:p>
    <w:p>
      <w:pPr>
        <w:spacing w:after="40" w:before="40"/>
      </w:pPr>
      <w:r>
        <w:t xml:space="preserve"/>
      </w:r>
    </w:p>
    <w:p>
      <w:pPr>
        <w:spacing w:after="40" w:before="40"/>
      </w:pPr>
      <w:r>
        <w:t xml:space="preserve"/>
      </w:r>
    </w:p>
    <w:p>
      <w:pPr>
        <w:pStyle w:val="Heading1"/>
        <w:pBdr>
          <w:bottom w:val="single" w:color="185FA5" w:sz="8" w:space="4"/>
        </w:pBdr>
        <w:spacing w:after="120" w:before="360"/>
        <w:rPr>
          <w:rFonts w:ascii="Calibri" w:cs="Calibri" w:eastAsia="Calibri" w:hAnsi="Calibri"/>
          <w:b/>
          <w:bCs/>
          <w:color w:val="0C447C"/>
          <w:sz w:val="28"/>
          <w:szCs w:val="28"/>
        </w:rPr>
      </w:pPr>
      <w:r>
        <w:t xml:space="preserve">6. Conclusions</w:t>
      </w:r>
    </w:p>
    <w:p>
      <w:pPr>
        <w:spacing w:after="120" w:before="60"/>
      </w:pPr>
      <w:r>
        <w:rPr>
          <w:rFonts w:ascii="Calibri" w:cs="Calibri" w:eastAsia="Calibri" w:hAnsi="Calibri"/>
          <w:b w:val="false"/>
          <w:bCs w:val="false"/>
          <w:i w:val="false"/>
          <w:iCs w:val="false"/>
          <w:color w:val="2C2C2A"/>
          <w:sz w:val="22"/>
          <w:szCs w:val="22"/>
        </w:rPr>
        <w:t xml:space="preserve">This analysis establishes a definitive causal chain: engagement drives product depth, product depth drives retention. The key findings are:</w:t>
      </w:r>
    </w:p>
    <w:p>
      <w:pPr>
        <w:spacing w:after="40" w:before="40"/>
      </w:pPr>
      <w:r>
        <w:t xml:space="preserve"/>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Engagement is 12.6pp more predictive of churn than disengagement — this is the strongest single signal in the data</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The 1→2 product transition delivers a 20pp churn reduction — the highest ROI retention action</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3–4 products predict near-certain churn — existing over-sold customers need urgent remediation</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Germany and the 51–60 cohort require immediate, dedicated retention interventions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The RSI score provides a reliable, operational early-warning system with 2.85× discriminatory power</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1,584 high-value inactive customers represent the bank's single most urgent retention priority</w:t>
      </w:r>
    </w:p>
    <w:p>
      <w:pPr>
        <w:spacing w:after="40" w:before="40"/>
      </w:pPr>
      <w:r>
        <w:t xml:space="preserve"/>
      </w:r>
    </w:p>
    <w:p>
      <w:pPr>
        <w:spacing w:after="120" w:before="60"/>
      </w:pPr>
      <w:r>
        <w:rPr>
          <w:rFonts w:ascii="Calibri" w:cs="Calibri" w:eastAsia="Calibri" w:hAnsi="Calibri"/>
          <w:b w:val="false"/>
          <w:bCs w:val="false"/>
          <w:i w:val="false"/>
          <w:iCs w:val="false"/>
          <w:color w:val="2C2C2A"/>
          <w:sz w:val="22"/>
          <w:szCs w:val="22"/>
        </w:rPr>
        <w:t xml:space="preserve">The strategic imperative is clear: shift retention resources from demographic profiling to behavioral engagement monitoring, prioritise the 1→2 product transition, and embed RSI scoring in daily CRM operations. These interventions have the potential to reduce the overall churn rate from 20.4% toward a target of 12–15% within 12 months.</w:t>
      </w:r>
    </w:p>
    <w:p>
      <w:pPr>
        <w:spacing w:after="40" w:before="40"/>
      </w:pPr>
      <w:r>
        <w:t xml:space="preserve"/>
      </w:r>
    </w:p>
    <w:p>
      <w:pPr>
        <w:spacing w:after="40" w:before="40"/>
      </w:pPr>
      <w:r>
        <w:t xml:space="preserve"/>
      </w:r>
    </w:p>
    <w:p>
      <w:pPr>
        <w:pStyle w:val="Heading1"/>
        <w:pBdr>
          <w:bottom w:val="single" w:color="185FA5" w:sz="8" w:space="4"/>
        </w:pBdr>
        <w:spacing w:after="120" w:before="360"/>
        <w:rPr>
          <w:rFonts w:ascii="Calibri" w:cs="Calibri" w:eastAsia="Calibri" w:hAnsi="Calibri"/>
          <w:b/>
          <w:bCs/>
          <w:color w:val="0C447C"/>
          <w:sz w:val="28"/>
          <w:szCs w:val="28"/>
        </w:rPr>
      </w:pPr>
      <w:r>
        <w:t xml:space="preserve">7. References &amp; Methodology Notes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Dataset: European Bank Customer Dataset, 10,000 records, 2025</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Engagement Tier classification: Activity × Product count cross-tabulation</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RSI Formula: Activity(40) + Products_capped(20) + CrCard(10) + Tenure_capped(3)</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All churn rates calculated as: Exited=1 count / Total customers in segment</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Age buckets: 18–30, 31–40, 41–50, 51–60, 60+ (closed-open intervals)</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Balance tiers: Zero (€0), €1–50k, €50–100k, €100–150k, €150k+</w:t>
      </w:r>
    </w:p>
    <w:p>
      <w:pPr>
        <w:spacing w:after="60" w:before="40"/>
        <w:ind w:left="360"/>
      </w:pPr>
      <w:r>
        <w:rPr>
          <w:rFonts w:ascii="Calibri" w:cs="Calibri" w:eastAsia="Calibri" w:hAnsi="Calibri"/>
          <w:b/>
          <w:bCs/>
          <w:color w:val="185FA5"/>
          <w:sz w:val="22"/>
          <w:szCs w:val="22"/>
        </w:rPr>
        <w:t xml:space="preserve">• </w:t>
      </w:r>
      <w:r>
        <w:rPr>
          <w:rFonts w:ascii="Calibri" w:cs="Calibri" w:eastAsia="Calibri" w:hAnsi="Calibri"/>
          <w:color w:val="2C2C2A"/>
          <w:sz w:val="22"/>
          <w:szCs w:val="22"/>
        </w:rPr>
        <w:t xml:space="preserve">High-value disengaged criteria: Balance &gt; €100,000 AND IsActiveMember = 0</w:t>
      </w:r>
    </w:p>
    <w:sectPr>
      <w:headerReference w:type="default" r:id="rId7"/>
      <w:footerReference w:type="default" r:id="rId8"/>
      <w:pgSz w:w="11906" w:h="16838" w:orient="portrait"/>
      <w:pgMar w:top="1080" w:right="1080" w:bottom="1080" w:left="108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2" w:space="4"/>
      </w:pBdr>
      <w:jc w:val="center"/>
    </w:pPr>
    <w:r>
      <w:rPr>
        <w:rFonts w:ascii="Calibri" w:cs="Calibri" w:eastAsia="Calibri" w:hAnsi="Calibri"/>
        <w:color w:val="5F5E5A"/>
        <w:sz w:val="18"/>
        <w:szCs w:val="18"/>
      </w:rPr>
      <w:t xml:space="preserve">Page </w:t>
    </w:r>
    <w:r>
      <w:rPr>
        <w:rFonts w:ascii="Calibri" w:cs="Calibri" w:eastAsia="Calibri" w:hAnsi="Calibri"/>
        <w:color w:val="5F5E5A"/>
        <w:sz w:val="18"/>
        <w:szCs w:val="18"/>
      </w:rPr>
      <w:t xml:space="preserve">  ·  Confidential — European Central Bank  ·  Customer Behavior Analytics Division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space="4"/>
      </w:pBdr>
      <w:jc w:val="right"/>
    </w:pPr>
    <w:r>
      <w:rPr>
        <w:rFonts w:ascii="Calibri" w:cs="Calibri" w:eastAsia="Calibri" w:hAnsi="Calibri"/>
        <w:color w:val="5F5E5A"/>
        <w:sz w:val="18"/>
        <w:szCs w:val="18"/>
      </w:rPr>
      <w:t xml:space="preserve">European Bank · Customer Engagement &amp; Retention Analytics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2026-05-28T17:16:18.979Z</dcterms:created>
  <dcterms:modified xsi:type="dcterms:W3CDTF">2026-05-28T17:16:18.992Z</dcterms:modified>
</cp:coreProperties>
</file>

<file path=docProps/custom.xml><?xml version="1.0" encoding="utf-8"?>
<Properties xmlns="http://schemas.openxmlformats.org/officeDocument/2006/custom-properties" xmlns:vt="http://schemas.openxmlformats.org/officeDocument/2006/docPropsVTypes"/>
</file>