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Road Accident Data Analysis System</w:t>
      </w:r>
    </w:p>
    <w:p>
      <w:r>
        <w:rPr>
          <w:b/>
          <w:color w:val="46505A"/>
          <w:sz w:val="28"/>
        </w:rPr>
        <w:t>Project Master Handoff</w:t>
      </w:r>
    </w:p>
    <w:p>
      <w:r>
        <w:t>Purpose: this document gives a teammate or AI assistant enough context to understand the project, its requirements, its current files, and what remains to be built. The project is an educational analysis website using India road accident data.</w:t>
      </w:r>
    </w:p>
    <w:p>
      <w:pPr>
        <w:pStyle w:val="Heading1"/>
      </w:pPr>
      <w:r>
        <w:t>1. Project goal</w:t>
      </w:r>
    </w:p>
    <w:p>
      <w:r>
        <w:t>Build a Flask website connected to a MySQL database that presents and analyzes reported road accident data. Users should be able to view records or summary tables, filter by available time and location fields, understand patterns in accidents, deaths and injuries, and explore charts that clearly describe what the data supports.</w:t>
      </w:r>
    </w:p>
    <w:p>
      <w:r>
        <w:t>The project brief names Pandas and NumPy for grouping and descriptive analysis, and Matplotlib for charts. AI features are optional. The analysis must describe reported patterns and associations, not claim that the data proves a cause.</w:t>
      </w:r>
    </w:p>
    <w:p>
      <w:pPr>
        <w:pStyle w:val="Heading1"/>
      </w:pPr>
      <w:r>
        <w:t>2. Assignment requirements</w:t>
      </w:r>
    </w:p>
    <w:tbl>
      <w:tblPr>
        <w:tblStyle w:val="TableGrid"/>
        <w:tblW w:type="auto" w:w="0"/>
        <w:jc w:val="center"/>
        <w:tblLook w:firstColumn="1" w:firstRow="1" w:lastColumn="0" w:lastRow="0" w:noHBand="0" w:noVBand="1" w:val="04A0"/>
      </w:tblPr>
      <w:tblGrid>
        <w:gridCol w:w="5083"/>
        <w:gridCol w:w="5083"/>
      </w:tblGrid>
      <w:tr>
        <w:trPr>
          <w:cantSplit/>
          <w:tblHeader/>
        </w:trPr>
        <w:tc>
          <w:tcPr>
            <w:tcW w:type="dxa" w:w="5083"/>
            <w:shd w:fill="273746"/>
            <w:vAlign w:val="center"/>
          </w:tcPr>
          <w:p>
            <w:pPr>
              <w:spacing w:after="20" w:before="20"/>
            </w:pPr>
            <w:r>
              <w:rPr>
                <w:b/>
                <w:color w:val="FFFFFF"/>
                <w:sz w:val="16"/>
              </w:rPr>
              <w:t>Area</w:t>
            </w:r>
          </w:p>
        </w:tc>
        <w:tc>
          <w:tcPr>
            <w:tcW w:type="dxa" w:w="5083"/>
            <w:shd w:fill="273746"/>
            <w:vAlign w:val="center"/>
          </w:tcPr>
          <w:p>
            <w:pPr>
              <w:spacing w:after="20" w:before="20"/>
            </w:pPr>
            <w:r>
              <w:rPr>
                <w:b/>
                <w:color w:val="FFFFFF"/>
                <w:sz w:val="16"/>
              </w:rPr>
              <w:t>Expected project result</w:t>
            </w:r>
          </w:p>
        </w:tc>
      </w:tr>
      <w:tr>
        <w:trPr>
          <w:cantSplit/>
        </w:trPr>
        <w:tc>
          <w:tcPr>
            <w:tcW w:type="dxa" w:w="5083"/>
            <w:vAlign w:val="center"/>
          </w:tcPr>
          <w:p>
            <w:pPr>
              <w:spacing w:after="20" w:before="20"/>
            </w:pPr>
            <w:r>
              <w:rPr>
                <w:sz w:val="16"/>
              </w:rPr>
              <w:t>Proposal and requirements</w:t>
            </w:r>
          </w:p>
        </w:tc>
        <w:tc>
          <w:tcPr>
            <w:tcW w:type="dxa" w:w="5083"/>
            <w:vAlign w:val="center"/>
          </w:tcPr>
          <w:p>
            <w:pPr>
              <w:spacing w:after="20" w:before="20"/>
            </w:pPr>
            <w:r>
              <w:rPr>
                <w:sz w:val="16"/>
              </w:rPr>
              <w:t>Project purpose, objectives, scope, assumptions, features and plan.</w:t>
            </w:r>
          </w:p>
        </w:tc>
      </w:tr>
      <w:tr>
        <w:trPr>
          <w:cantSplit/>
        </w:trPr>
        <w:tc>
          <w:tcPr>
            <w:tcW w:type="dxa" w:w="5083"/>
            <w:vAlign w:val="center"/>
          </w:tcPr>
          <w:p>
            <w:pPr>
              <w:spacing w:after="20" w:before="20"/>
            </w:pPr>
            <w:r>
              <w:rPr>
                <w:sz w:val="16"/>
              </w:rPr>
              <w:t>Database design</w:t>
            </w:r>
          </w:p>
        </w:tc>
        <w:tc>
          <w:tcPr>
            <w:tcW w:type="dxa" w:w="5083"/>
            <w:vAlign w:val="center"/>
          </w:tcPr>
          <w:p>
            <w:pPr>
              <w:spacing w:after="20" w:before="20"/>
            </w:pPr>
            <w:r>
              <w:rPr>
                <w:sz w:val="16"/>
              </w:rPr>
              <w:t>ER diagram, table relationships, schema, sample data and SQL setup script.</w:t>
            </w:r>
          </w:p>
        </w:tc>
      </w:tr>
      <w:tr>
        <w:trPr>
          <w:cantSplit/>
        </w:trPr>
        <w:tc>
          <w:tcPr>
            <w:tcW w:type="dxa" w:w="5083"/>
            <w:vAlign w:val="center"/>
          </w:tcPr>
          <w:p>
            <w:pPr>
              <w:spacing w:after="20" w:before="20"/>
            </w:pPr>
            <w:r>
              <w:rPr>
                <w:sz w:val="16"/>
              </w:rPr>
              <w:t>Flask backend</w:t>
            </w:r>
          </w:p>
        </w:tc>
        <w:tc>
          <w:tcPr>
            <w:tcW w:type="dxa" w:w="5083"/>
            <w:vAlign w:val="center"/>
          </w:tcPr>
          <w:p>
            <w:pPr>
              <w:spacing w:after="20" w:before="20"/>
            </w:pPr>
            <w:r>
              <w:rPr>
                <w:sz w:val="16"/>
              </w:rPr>
              <w:t>Working app/API, database connection, validation and error handling.</w:t>
            </w:r>
          </w:p>
        </w:tc>
      </w:tr>
      <w:tr>
        <w:trPr>
          <w:cantSplit/>
        </w:trPr>
        <w:tc>
          <w:tcPr>
            <w:tcW w:type="dxa" w:w="5083"/>
            <w:vAlign w:val="center"/>
          </w:tcPr>
          <w:p>
            <w:pPr>
              <w:spacing w:after="20" w:before="20"/>
            </w:pPr>
            <w:r>
              <w:rPr>
                <w:sz w:val="16"/>
              </w:rPr>
              <w:t>Data analysis</w:t>
            </w:r>
          </w:p>
        </w:tc>
        <w:tc>
          <w:tcPr>
            <w:tcW w:type="dxa" w:w="5083"/>
            <w:vAlign w:val="center"/>
          </w:tcPr>
          <w:p>
            <w:pPr>
              <w:spacing w:after="20" w:before="20"/>
            </w:pPr>
            <w:r>
              <w:rPr>
                <w:sz w:val="16"/>
              </w:rPr>
              <w:t>Pandas/NumPy summaries with formulas, filters, assumptions and tables explained.</w:t>
            </w:r>
          </w:p>
        </w:tc>
      </w:tr>
      <w:tr>
        <w:trPr>
          <w:cantSplit/>
        </w:trPr>
        <w:tc>
          <w:tcPr>
            <w:tcW w:type="dxa" w:w="5083"/>
            <w:vAlign w:val="center"/>
          </w:tcPr>
          <w:p>
            <w:pPr>
              <w:spacing w:after="20" w:before="20"/>
            </w:pPr>
            <w:r>
              <w:rPr>
                <w:sz w:val="16"/>
              </w:rPr>
              <w:t>Visualizations</w:t>
            </w:r>
          </w:p>
        </w:tc>
        <w:tc>
          <w:tcPr>
            <w:tcW w:type="dxa" w:w="5083"/>
            <w:vAlign w:val="center"/>
          </w:tcPr>
          <w:p>
            <w:pPr>
              <w:spacing w:after="20" w:before="20"/>
            </w:pPr>
            <w:r>
              <w:rPr>
                <w:sz w:val="16"/>
              </w:rPr>
              <w:t>At least three meaningful charts with titles, labeled axes, units and interpretation.</w:t>
            </w:r>
          </w:p>
        </w:tc>
      </w:tr>
      <w:tr>
        <w:trPr>
          <w:cantSplit/>
        </w:trPr>
        <w:tc>
          <w:tcPr>
            <w:tcW w:type="dxa" w:w="5083"/>
            <w:vAlign w:val="center"/>
          </w:tcPr>
          <w:p>
            <w:pPr>
              <w:spacing w:after="20" w:before="20"/>
            </w:pPr>
            <w:r>
              <w:rPr>
                <w:sz w:val="16"/>
              </w:rPr>
              <w:t>Testing</w:t>
            </w:r>
          </w:p>
        </w:tc>
        <w:tc>
          <w:tcPr>
            <w:tcW w:type="dxa" w:w="5083"/>
            <w:vAlign w:val="center"/>
          </w:tcPr>
          <w:p>
            <w:pPr>
              <w:spacing w:after="20" w:before="20"/>
            </w:pPr>
            <w:r>
              <w:rPr>
                <w:sz w:val="16"/>
              </w:rPr>
              <w:t>Cases for valid and invalid input, empty data, boundary values and database errors.</w:t>
            </w:r>
          </w:p>
        </w:tc>
      </w:tr>
      <w:tr>
        <w:trPr>
          <w:cantSplit/>
        </w:trPr>
        <w:tc>
          <w:tcPr>
            <w:tcW w:type="dxa" w:w="5083"/>
            <w:vAlign w:val="center"/>
          </w:tcPr>
          <w:p>
            <w:pPr>
              <w:spacing w:after="20" w:before="20"/>
            </w:pPr>
            <w:r>
              <w:rPr>
                <w:sz w:val="16"/>
              </w:rPr>
              <w:t>Documentation</w:t>
            </w:r>
          </w:p>
        </w:tc>
        <w:tc>
          <w:tcPr>
            <w:tcW w:type="dxa" w:w="5083"/>
            <w:vAlign w:val="center"/>
          </w:tcPr>
          <w:p>
            <w:pPr>
              <w:spacing w:after="20" w:before="20"/>
            </w:pPr>
            <w:r>
              <w:rPr>
                <w:sz w:val="16"/>
              </w:rPr>
              <w:t>README/setup, project synopsis, endpoints, schema, methods, outputs and limitations.</w:t>
            </w:r>
          </w:p>
        </w:tc>
      </w:tr>
      <w:tr>
        <w:trPr>
          <w:cantSplit/>
        </w:trPr>
        <w:tc>
          <w:tcPr>
            <w:tcW w:type="dxa" w:w="5083"/>
            <w:vAlign w:val="center"/>
          </w:tcPr>
          <w:p>
            <w:pPr>
              <w:spacing w:after="20" w:before="20"/>
            </w:pPr>
            <w:r>
              <w:rPr>
                <w:sz w:val="16"/>
              </w:rPr>
              <w:t>Demonstration</w:t>
            </w:r>
          </w:p>
        </w:tc>
        <w:tc>
          <w:tcPr>
            <w:tcW w:type="dxa" w:w="5083"/>
            <w:vAlign w:val="center"/>
          </w:tcPr>
          <w:p>
            <w:pPr>
              <w:spacing w:after="20" w:before="20"/>
            </w:pPr>
            <w:r>
              <w:rPr>
                <w:sz w:val="16"/>
              </w:rPr>
              <w:t>8-12 minute end-to-end demo showing data, analysis, charts, tests and conclusions.</w:t>
            </w:r>
          </w:p>
        </w:tc>
      </w:tr>
    </w:tbl>
    <w:p>
      <w:r>
        <w:t>The project brief also requires reporting missing data, documenting the source and location granularity, and excluding personally identifying information.</w:t>
      </w:r>
    </w:p>
    <w:p>
      <w:pPr>
        <w:pStyle w:val="Heading1"/>
      </w:pPr>
      <w:r>
        <w:t>3. Proposed application flow</w:t>
      </w:r>
    </w:p>
    <w:p>
      <w:pPr>
        <w:jc w:val="center"/>
      </w:pPr>
      <w:r>
        <w:rPr>
          <w:b/>
          <w:color w:val="1F4E79"/>
          <w:sz w:val="20"/>
        </w:rPr>
        <w:t>Browser  →  Flask routes  →  MySQL database  →  Pandas summaries  →  charts and dashboard</w:t>
      </w:r>
    </w:p>
    <w:p>
      <w:r>
        <w:t>Flask handles page requests and reads/writes database rows. Analysis code queries the required rows and uses Pandas/NumPy to calculate summaries. The dashboard shows those summaries in tables and charts. Credentials belong in environment variables or a private local configuration file, not committed source code.</w:t>
      </w:r>
    </w:p>
    <w:p>
      <w:pPr>
        <w:pStyle w:val="Heading1"/>
      </w:pPr>
      <w:r>
        <w:t>4. Real data and what it supports</w:t>
      </w:r>
    </w:p>
    <w:p>
      <w:r>
        <w:t>The current database seed uses Ministry of Road Transport and Highways (MoRTH) / Press Information Bureau figures for calendar year 2022. The source tables provide accidents, persons killed and persons injured by State/UT, plus an India total. The published figures are collected from State/UT police departments.</w:t>
      </w:r>
    </w:p>
    <w:p>
      <w:pPr>
        <w:pStyle w:val="ListBullet"/>
        <w:spacing w:after="20"/>
      </w:pPr>
      <w:r>
        <w:rPr>
          <w:b/>
        </w:rPr>
        <w:t xml:space="preserve">Official MoRTH/PIB state and UT tables (2018-2022): </w:t>
      </w:r>
      <w:r>
        <w:t>https://www.pib.gov.in/PressReleseDetailm.aspx?PRID=2042509</w:t>
      </w:r>
    </w:p>
    <w:p>
      <w:pPr>
        <w:pStyle w:val="ListBullet"/>
        <w:spacing w:after="20"/>
      </w:pPr>
      <w:r>
        <w:rPr>
          <w:b/>
        </w:rPr>
        <w:t xml:space="preserve">MoRTH Road Accidents in India 2022 report: </w:t>
      </w:r>
      <w:r>
        <w:t>https://morth.gov.in/sites/default/files/RA_2022_30_Oct.pdf</w:t>
      </w:r>
    </w:p>
    <w:p>
      <w:pPr>
        <w:pStyle w:val="ListBullet"/>
        <w:spacing w:after="20"/>
      </w:pPr>
      <w:r>
        <w:rPr>
          <w:b/>
        </w:rPr>
        <w:t xml:space="preserve">Open Government Data India road accident catalogs: </w:t>
      </w:r>
      <w:r>
        <w:t>https://data.gov.in/catalog/total-number-road-accidents-india</w:t>
      </w:r>
    </w:p>
    <w:p>
      <w:r>
        <w:t>The SQL currently loads one year of aggregate totals. It can support state/UT comparisons for 2022, but a single year does not support a time trend. The rows are not individual crashes, and they do not identify hour, street, vehicle involved, weather, or a precise crash location. Do not describe the current data as incident-level or use it to claim street-level hotspots.</w:t>
      </w:r>
    </w:p>
    <w:p>
      <w:pPr>
        <w:pStyle w:val="Heading1"/>
      </w:pPr>
      <w:r>
        <w:t>5. Database design in the current SQL file</w:t>
      </w:r>
    </w:p>
    <w:p>
      <w:r>
        <w:t>The file road_accident_database.sql creates database road_accident_db, defines ten related tables, and inserts official 2022 aggregate values. It is the schema/setup source of truth unless the team revises it. The source combines Dadra and Nagar Haveli with Daman and Diu in 2022; the SQL uses their current Union Territory name. Do not add the India total to State/UT totals.</w:t>
      </w:r>
    </w:p>
    <w:tbl>
      <w:tblPr>
        <w:tblStyle w:val="TableGrid"/>
        <w:tblW w:type="auto" w:w="0"/>
        <w:jc w:val="center"/>
        <w:tblLook w:firstColumn="1" w:firstRow="1" w:lastColumn="0" w:lastRow="0" w:noHBand="0" w:noVBand="1" w:val="04A0"/>
      </w:tblPr>
      <w:tblGrid>
        <w:gridCol w:w="5083"/>
        <w:gridCol w:w="5083"/>
      </w:tblGrid>
      <w:tr>
        <w:trPr>
          <w:cantSplit/>
          <w:tblHeader/>
        </w:trPr>
        <w:tc>
          <w:tcPr>
            <w:tcW w:type="dxa" w:w="5083"/>
            <w:shd w:fill="273746"/>
            <w:vAlign w:val="center"/>
          </w:tcPr>
          <w:p>
            <w:pPr>
              <w:spacing w:after="20" w:before="20"/>
            </w:pPr>
            <w:r>
              <w:rPr>
                <w:b/>
                <w:color w:val="FFFFFF"/>
                <w:sz w:val="15"/>
              </w:rPr>
              <w:t>Table</w:t>
            </w:r>
          </w:p>
        </w:tc>
        <w:tc>
          <w:tcPr>
            <w:tcW w:type="dxa" w:w="5083"/>
            <w:shd w:fill="273746"/>
            <w:vAlign w:val="center"/>
          </w:tcPr>
          <w:p>
            <w:pPr>
              <w:spacing w:after="20" w:before="20"/>
            </w:pPr>
            <w:r>
              <w:rPr>
                <w:b/>
                <w:color w:val="FFFFFF"/>
                <w:sz w:val="15"/>
              </w:rPr>
              <w:t>Role and relationship</w:t>
            </w:r>
          </w:p>
        </w:tc>
      </w:tr>
      <w:tr>
        <w:trPr>
          <w:cantSplit/>
        </w:trPr>
        <w:tc>
          <w:tcPr>
            <w:tcW w:type="dxa" w:w="5083"/>
            <w:vAlign w:val="center"/>
          </w:tcPr>
          <w:p>
            <w:pPr>
              <w:spacing w:after="20" w:before="20"/>
            </w:pPr>
            <w:r>
              <w:rPr>
                <w:sz w:val="15"/>
              </w:rPr>
              <w:t>locations</w:t>
            </w:r>
          </w:p>
        </w:tc>
        <w:tc>
          <w:tcPr>
            <w:tcW w:type="dxa" w:w="5083"/>
            <w:vAlign w:val="center"/>
          </w:tcPr>
          <w:p>
            <w:pPr>
              <w:spacing w:after="20" w:before="20"/>
            </w:pPr>
            <w:r>
              <w:rPr>
                <w:sz w:val="15"/>
              </w:rPr>
              <w:t>Country, State/UT and future district/city hierarchy. One location can have many statistics and incident records.</w:t>
            </w:r>
          </w:p>
        </w:tc>
      </w:tr>
      <w:tr>
        <w:trPr>
          <w:cantSplit/>
        </w:trPr>
        <w:tc>
          <w:tcPr>
            <w:tcW w:type="dxa" w:w="5083"/>
            <w:vAlign w:val="center"/>
          </w:tcPr>
          <w:p>
            <w:pPr>
              <w:spacing w:after="20" w:before="20"/>
            </w:pPr>
            <w:r>
              <w:rPr>
                <w:sz w:val="15"/>
              </w:rPr>
              <w:t>data_sources</w:t>
            </w:r>
          </w:p>
        </w:tc>
        <w:tc>
          <w:tcPr>
            <w:tcW w:type="dxa" w:w="5083"/>
            <w:vAlign w:val="center"/>
          </w:tcPr>
          <w:p>
            <w:pPr>
              <w:spacing w:after="20" w:before="20"/>
            </w:pPr>
            <w:r>
              <w:rPr>
                <w:sz w:val="15"/>
              </w:rPr>
              <w:t>Publisher, title, URL, year and notes. One source can support many statistics, incident records and imports.</w:t>
            </w:r>
          </w:p>
        </w:tc>
      </w:tr>
      <w:tr>
        <w:trPr>
          <w:cantSplit/>
        </w:trPr>
        <w:tc>
          <w:tcPr>
            <w:tcW w:type="dxa" w:w="5083"/>
            <w:vAlign w:val="center"/>
          </w:tcPr>
          <w:p>
            <w:pPr>
              <w:spacing w:after="20" w:before="20"/>
            </w:pPr>
            <w:r>
              <w:rPr>
                <w:sz w:val="15"/>
              </w:rPr>
              <w:t>road_types</w:t>
            </w:r>
          </w:p>
        </w:tc>
        <w:tc>
          <w:tcPr>
            <w:tcW w:type="dxa" w:w="5083"/>
            <w:vAlign w:val="center"/>
          </w:tcPr>
          <w:p>
            <w:pPr>
              <w:spacing w:after="20" w:before="20"/>
            </w:pPr>
            <w:r>
              <w:rPr>
                <w:sz w:val="15"/>
              </w:rPr>
              <w:t>Lookup for all roads, National Highways, State Highways and other roads.</w:t>
            </w:r>
          </w:p>
        </w:tc>
      </w:tr>
      <w:tr>
        <w:trPr>
          <w:cantSplit/>
        </w:trPr>
        <w:tc>
          <w:tcPr>
            <w:tcW w:type="dxa" w:w="5083"/>
            <w:vAlign w:val="center"/>
          </w:tcPr>
          <w:p>
            <w:pPr>
              <w:spacing w:after="20" w:before="20"/>
            </w:pPr>
            <w:r>
              <w:rPr>
                <w:sz w:val="15"/>
              </w:rPr>
              <w:t>vehicle_types</w:t>
            </w:r>
          </w:p>
        </w:tc>
        <w:tc>
          <w:tcPr>
            <w:tcW w:type="dxa" w:w="5083"/>
            <w:vAlign w:val="center"/>
          </w:tcPr>
          <w:p>
            <w:pPr>
              <w:spacing w:after="20" w:before="20"/>
            </w:pPr>
            <w:r>
              <w:rPr>
                <w:sz w:val="15"/>
              </w:rPr>
              <w:t>Lookup for vehicle categories when a source reports them.</w:t>
            </w:r>
          </w:p>
        </w:tc>
      </w:tr>
      <w:tr>
        <w:trPr>
          <w:cantSplit/>
        </w:trPr>
        <w:tc>
          <w:tcPr>
            <w:tcW w:type="dxa" w:w="5083"/>
            <w:vAlign w:val="center"/>
          </w:tcPr>
          <w:p>
            <w:pPr>
              <w:spacing w:after="20" w:before="20"/>
            </w:pPr>
            <w:r>
              <w:rPr>
                <w:sz w:val="15"/>
              </w:rPr>
              <w:t>weather_conditions</w:t>
            </w:r>
          </w:p>
        </w:tc>
        <w:tc>
          <w:tcPr>
            <w:tcW w:type="dxa" w:w="5083"/>
            <w:vAlign w:val="center"/>
          </w:tcPr>
          <w:p>
            <w:pPr>
              <w:spacing w:after="20" w:before="20"/>
            </w:pPr>
            <w:r>
              <w:rPr>
                <w:sz w:val="15"/>
              </w:rPr>
              <w:t>Lookup for weather labels when a source reports them.</w:t>
            </w:r>
          </w:p>
        </w:tc>
      </w:tr>
      <w:tr>
        <w:trPr>
          <w:cantSplit/>
        </w:trPr>
        <w:tc>
          <w:tcPr>
            <w:tcW w:type="dxa" w:w="5083"/>
            <w:vAlign w:val="center"/>
          </w:tcPr>
          <w:p>
            <w:pPr>
              <w:spacing w:after="20" w:before="20"/>
            </w:pPr>
            <w:r>
              <w:rPr>
                <w:sz w:val="15"/>
              </w:rPr>
              <w:t>severity_types</w:t>
            </w:r>
          </w:p>
        </w:tc>
        <w:tc>
          <w:tcPr>
            <w:tcW w:type="dxa" w:w="5083"/>
            <w:vAlign w:val="center"/>
          </w:tcPr>
          <w:p>
            <w:pPr>
              <w:spacing w:after="20" w:before="20"/>
            </w:pPr>
            <w:r>
              <w:rPr>
                <w:sz w:val="15"/>
              </w:rPr>
              <w:t>Lookup for crash severity labels when a source reports them.</w:t>
            </w:r>
          </w:p>
        </w:tc>
      </w:tr>
      <w:tr>
        <w:trPr>
          <w:cantSplit/>
        </w:trPr>
        <w:tc>
          <w:tcPr>
            <w:tcW w:type="dxa" w:w="5083"/>
            <w:vAlign w:val="center"/>
          </w:tcPr>
          <w:p>
            <w:pPr>
              <w:spacing w:after="20" w:before="20"/>
            </w:pPr>
            <w:r>
              <w:rPr>
                <w:sz w:val="15"/>
              </w:rPr>
              <w:t>accident_statistics</w:t>
            </w:r>
          </w:p>
        </w:tc>
        <w:tc>
          <w:tcPr>
            <w:tcW w:type="dxa" w:w="5083"/>
            <w:vAlign w:val="center"/>
          </w:tcPr>
          <w:p>
            <w:pPr>
              <w:spacing w:after="20" w:before="20"/>
            </w:pPr>
            <w:r>
              <w:rPr>
                <w:sz w:val="15"/>
              </w:rPr>
              <w:t>Aggregate counts by location, year, source and road category. This is where current seed data lives.</w:t>
            </w:r>
          </w:p>
        </w:tc>
      </w:tr>
      <w:tr>
        <w:trPr>
          <w:cantSplit/>
        </w:trPr>
        <w:tc>
          <w:tcPr>
            <w:tcW w:type="dxa" w:w="5083"/>
            <w:vAlign w:val="center"/>
          </w:tcPr>
          <w:p>
            <w:pPr>
              <w:spacing w:after="20" w:before="20"/>
            </w:pPr>
            <w:r>
              <w:rPr>
                <w:sz w:val="15"/>
              </w:rPr>
              <w:t>accident_records</w:t>
            </w:r>
          </w:p>
        </w:tc>
        <w:tc>
          <w:tcPr>
            <w:tcW w:type="dxa" w:w="5083"/>
            <w:vAlign w:val="center"/>
          </w:tcPr>
          <w:p>
            <w:pPr>
              <w:spacing w:after="20" w:before="20"/>
            </w:pPr>
            <w:r>
              <w:rPr>
                <w:sz w:val="15"/>
              </w:rPr>
              <w:t>Optional individual-crash records. No rows are seeded because the current source is aggregate.</w:t>
            </w:r>
          </w:p>
        </w:tc>
      </w:tr>
      <w:tr>
        <w:trPr>
          <w:cantSplit/>
        </w:trPr>
        <w:tc>
          <w:tcPr>
            <w:tcW w:type="dxa" w:w="5083"/>
            <w:vAlign w:val="center"/>
          </w:tcPr>
          <w:p>
            <w:pPr>
              <w:spacing w:after="20" w:before="20"/>
            </w:pPr>
            <w:r>
              <w:rPr>
                <w:sz w:val="15"/>
              </w:rPr>
              <w:t>accident_vehicles</w:t>
            </w:r>
          </w:p>
        </w:tc>
        <w:tc>
          <w:tcPr>
            <w:tcW w:type="dxa" w:w="5083"/>
            <w:vAlign w:val="center"/>
          </w:tcPr>
          <w:p>
            <w:pPr>
              <w:spacing w:after="20" w:before="20"/>
            </w:pPr>
            <w:r>
              <w:rPr>
                <w:sz w:val="15"/>
              </w:rPr>
              <w:t>Link between individual accidents and one or more vehicle types.</w:t>
            </w:r>
          </w:p>
        </w:tc>
      </w:tr>
      <w:tr>
        <w:trPr>
          <w:cantSplit/>
        </w:trPr>
        <w:tc>
          <w:tcPr>
            <w:tcW w:type="dxa" w:w="5083"/>
            <w:vAlign w:val="center"/>
          </w:tcPr>
          <w:p>
            <w:pPr>
              <w:spacing w:after="20" w:before="20"/>
            </w:pPr>
            <w:r>
              <w:rPr>
                <w:sz w:val="15"/>
              </w:rPr>
              <w:t>import_batches</w:t>
            </w:r>
          </w:p>
        </w:tc>
        <w:tc>
          <w:tcPr>
            <w:tcW w:type="dxa" w:w="5083"/>
            <w:vAlign w:val="center"/>
          </w:tcPr>
          <w:p>
            <w:pPr>
              <w:spacing w:after="20" w:before="20"/>
            </w:pPr>
            <w:r>
              <w:rPr>
                <w:sz w:val="15"/>
              </w:rPr>
              <w:t>Records which source/import was loaded, when, and how many rows were loaded or rejected.</w:t>
            </w:r>
          </w:p>
        </w:tc>
      </w:tr>
    </w:tbl>
    <w:p>
      <w:r>
        <w:t>Important distinction: lookup tables and incident-level tables are prepared for future datasets, but their existence does not mean the current data includes those details. For analysis by vehicle, weather, severity or time of day, find a source with those fields and extend the aggregate model as needed.</w:t>
      </w:r>
    </w:p>
    <w:p>
      <w:pPr>
        <w:pStyle w:val="Heading1"/>
      </w:pPr>
      <w:r>
        <w:t>6. Planned website and analysis features</w:t>
      </w:r>
    </w:p>
    <w:p>
      <w:pPr>
        <w:pStyle w:val="ListBullet"/>
        <w:spacing w:after="20"/>
      </w:pPr>
      <w:r>
        <w:t>Overview dashboard: selected-year totals for reported accidents, people killed and people injured.</w:t>
      </w:r>
    </w:p>
    <w:p>
      <w:pPr>
        <w:pStyle w:val="ListBullet"/>
        <w:spacing w:after="20"/>
      </w:pPr>
      <w:r>
        <w:t>Location comparison: rank States/UTs for a selected year and show the reported counts.</w:t>
      </w:r>
    </w:p>
    <w:p>
      <w:pPr>
        <w:pStyle w:val="ListBullet"/>
        <w:spacing w:after="20"/>
      </w:pPr>
      <w:r>
        <w:t>Trend charts: show change across years after importing multiple years of comparable official data.</w:t>
      </w:r>
    </w:p>
    <w:p>
      <w:pPr>
        <w:pStyle w:val="ListBullet"/>
        <w:spacing w:after="20"/>
      </w:pPr>
      <w:r>
        <w:t>Data table: filter and inspect available location/year totals; show the source and data year.</w:t>
      </w:r>
    </w:p>
    <w:p>
      <w:pPr>
        <w:pStyle w:val="ListBullet"/>
        <w:spacing w:after="20"/>
      </w:pPr>
      <w:r>
        <w:t>Optional incident view or map: only after obtaining public incident-level records with valid geographic fields.</w:t>
      </w:r>
    </w:p>
    <w:p>
      <w:pPr>
        <w:pStyle w:val="ListBullet"/>
        <w:spacing w:after="20"/>
      </w:pPr>
      <w:r>
        <w:t>Optional AI summary: summarize displayed statistics in plain language; label it as an interpretation of reported data, not a causal finding.</w:t>
      </w:r>
    </w:p>
    <w:p>
      <w:r>
        <w:t>A useful derived measure is persons killed per 100 reported accidents = persons_killed / accidents_reported × 100. Label it as a calculated rate and retain the original counts. A per-capita comparison requires matching population data for the same year and geography.</w:t>
      </w:r>
    </w:p>
    <w:p>
      <w:pPr>
        <w:pStyle w:val="Heading1"/>
      </w:pPr>
      <w:r>
        <w:t>7. Three-person team split</w:t>
      </w:r>
    </w:p>
    <w:tbl>
      <w:tblPr>
        <w:tblStyle w:val="TableGrid"/>
        <w:tblW w:type="auto" w:w="0"/>
        <w:jc w:val="center"/>
        <w:tblLook w:firstColumn="1" w:firstRow="1" w:lastColumn="0" w:lastRow="0" w:noHBand="0" w:noVBand="1" w:val="04A0"/>
      </w:tblPr>
      <w:tblGrid>
        <w:gridCol w:w="3389"/>
        <w:gridCol w:w="3389"/>
        <w:gridCol w:w="3389"/>
      </w:tblGrid>
      <w:tr>
        <w:trPr>
          <w:cantSplit/>
          <w:tblHeader/>
        </w:trPr>
        <w:tc>
          <w:tcPr>
            <w:tcW w:type="dxa" w:w="3389"/>
            <w:shd w:fill="273746"/>
            <w:vAlign w:val="center"/>
          </w:tcPr>
          <w:p>
            <w:pPr>
              <w:spacing w:after="20" w:before="20"/>
            </w:pPr>
            <w:r>
              <w:rPr>
                <w:b/>
                <w:color w:val="FFFFFF"/>
                <w:sz w:val="16"/>
              </w:rPr>
              <w:t>Member</w:t>
            </w:r>
          </w:p>
        </w:tc>
        <w:tc>
          <w:tcPr>
            <w:tcW w:type="dxa" w:w="3389"/>
            <w:shd w:fill="273746"/>
            <w:vAlign w:val="center"/>
          </w:tcPr>
          <w:p>
            <w:pPr>
              <w:spacing w:after="20" w:before="20"/>
            </w:pPr>
            <w:r>
              <w:rPr>
                <w:b/>
                <w:color w:val="FFFFFF"/>
                <w:sz w:val="16"/>
              </w:rPr>
              <w:t>Main ownership</w:t>
            </w:r>
          </w:p>
        </w:tc>
        <w:tc>
          <w:tcPr>
            <w:tcW w:type="dxa" w:w="3389"/>
            <w:shd w:fill="273746"/>
            <w:vAlign w:val="center"/>
          </w:tcPr>
          <w:p>
            <w:pPr>
              <w:spacing w:after="20" w:before="20"/>
            </w:pPr>
            <w:r>
              <w:rPr>
                <w:b/>
                <w:color w:val="FFFFFF"/>
                <w:sz w:val="16"/>
              </w:rPr>
              <w:t>Deliverables</w:t>
            </w:r>
          </w:p>
        </w:tc>
      </w:tr>
      <w:tr>
        <w:trPr>
          <w:cantSplit/>
        </w:trPr>
        <w:tc>
          <w:tcPr>
            <w:tcW w:type="dxa" w:w="3389"/>
            <w:vAlign w:val="center"/>
          </w:tcPr>
          <w:p>
            <w:pPr>
              <w:spacing w:after="20" w:before="20"/>
            </w:pPr>
            <w:r>
              <w:rPr>
                <w:sz w:val="16"/>
              </w:rPr>
              <w:t>1. Database and data</w:t>
            </w:r>
          </w:p>
        </w:tc>
        <w:tc>
          <w:tcPr>
            <w:tcW w:type="dxa" w:w="3389"/>
            <w:vAlign w:val="center"/>
          </w:tcPr>
          <w:p>
            <w:pPr>
              <w:spacing w:after="20" w:before="20"/>
            </w:pPr>
            <w:r>
              <w:rPr>
                <w:sz w:val="16"/>
              </w:rPr>
              <w:t>Confirm official dataset, document definitions, prepare/import data, maintain schema and provenance.</w:t>
            </w:r>
          </w:p>
        </w:tc>
        <w:tc>
          <w:tcPr>
            <w:tcW w:type="dxa" w:w="3389"/>
            <w:vAlign w:val="center"/>
          </w:tcPr>
          <w:p>
            <w:pPr>
              <w:spacing w:after="20" w:before="20"/>
            </w:pPr>
            <w:r>
              <w:rPr>
                <w:sz w:val="16"/>
              </w:rPr>
              <w:t>ER diagram, SQL changes, import/seed script, field notes and data-quality summary.</w:t>
            </w:r>
          </w:p>
        </w:tc>
      </w:tr>
      <w:tr>
        <w:trPr>
          <w:cantSplit/>
        </w:trPr>
        <w:tc>
          <w:tcPr>
            <w:tcW w:type="dxa" w:w="3389"/>
            <w:vAlign w:val="center"/>
          </w:tcPr>
          <w:p>
            <w:pPr>
              <w:spacing w:after="20" w:before="20"/>
            </w:pPr>
            <w:r>
              <w:rPr>
                <w:sz w:val="16"/>
              </w:rPr>
              <w:t>2. Flask website</w:t>
            </w:r>
          </w:p>
        </w:tc>
        <w:tc>
          <w:tcPr>
            <w:tcW w:type="dxa" w:w="3389"/>
            <w:vAlign w:val="center"/>
          </w:tcPr>
          <w:p>
            <w:pPr>
              <w:spacing w:after="20" w:before="20"/>
            </w:pPr>
            <w:r>
              <w:rPr>
                <w:sz w:val="16"/>
              </w:rPr>
              <w:t>Build Flask pages/routes, database connection, filters/forms and user-facing errors.</w:t>
            </w:r>
          </w:p>
        </w:tc>
        <w:tc>
          <w:tcPr>
            <w:tcW w:type="dxa" w:w="3389"/>
            <w:vAlign w:val="center"/>
          </w:tcPr>
          <w:p>
            <w:pPr>
              <w:spacing w:after="20" w:before="20"/>
            </w:pPr>
            <w:r>
              <w:rPr>
                <w:sz w:val="16"/>
              </w:rPr>
              <w:t>Flask dashboard, production MySQL integration, local CSV mode, filters, CSV/PDF reports, resource links and Render deployment instructions.</w:t>
            </w:r>
          </w:p>
        </w:tc>
      </w:tr>
      <w:tr>
        <w:trPr>
          <w:cantSplit/>
        </w:trPr>
        <w:tc>
          <w:tcPr>
            <w:tcW w:type="dxa" w:w="3389"/>
            <w:vAlign w:val="center"/>
          </w:tcPr>
          <w:p>
            <w:pPr>
              <w:spacing w:after="20" w:before="20"/>
            </w:pPr>
            <w:r>
              <w:rPr>
                <w:sz w:val="16"/>
              </w:rPr>
              <w:t>3. Analysis and charts</w:t>
            </w:r>
          </w:p>
        </w:tc>
        <w:tc>
          <w:tcPr>
            <w:tcW w:type="dxa" w:w="3389"/>
            <w:vAlign w:val="center"/>
          </w:tcPr>
          <w:p>
            <w:pPr>
              <w:spacing w:after="20" w:before="20"/>
            </w:pPr>
            <w:r>
              <w:rPr>
                <w:sz w:val="16"/>
              </w:rPr>
              <w:t>Build Pandas/NumPy summaries, chart outputs and interpretation.</w:t>
            </w:r>
          </w:p>
        </w:tc>
        <w:tc>
          <w:tcPr>
            <w:tcW w:type="dxa" w:w="3389"/>
            <w:vAlign w:val="center"/>
          </w:tcPr>
          <w:p>
            <w:pPr>
              <w:spacing w:after="20" w:before="20"/>
            </w:pPr>
            <w:r>
              <w:rPr>
                <w:sz w:val="16"/>
              </w:rPr>
              <w:t>Analysis module, summary tables, at least three charts and methodology notes.</w:t>
            </w:r>
          </w:p>
        </w:tc>
      </w:tr>
    </w:tbl>
    <w:p>
      <w:r>
        <w:t>All members agree on column names and example queries early, then integrate the parts and prepare the README, tests and demonstration together.</w:t>
      </w:r>
    </w:p>
    <w:p>
      <w:pPr>
        <w:pStyle w:val="Heading1"/>
      </w:pPr>
      <w:r>
        <w:t>8. Current status and next steps</w:t>
      </w:r>
    </w:p>
    <w:tbl>
      <w:tblPr>
        <w:tblStyle w:val="TableGrid"/>
        <w:tblW w:type="auto" w:w="0"/>
        <w:jc w:val="center"/>
        <w:tblLook w:firstColumn="1" w:firstRow="1" w:lastColumn="0" w:lastRow="0" w:noHBand="0" w:noVBand="1" w:val="04A0"/>
      </w:tblPr>
      <w:tblGrid>
        <w:gridCol w:w="5083"/>
        <w:gridCol w:w="5083"/>
      </w:tblGrid>
      <w:tr>
        <w:trPr>
          <w:cantSplit/>
          <w:tblHeader/>
        </w:trPr>
        <w:tc>
          <w:tcPr>
            <w:tcW w:type="dxa" w:w="5083"/>
            <w:shd w:fill="273746"/>
            <w:vAlign w:val="center"/>
          </w:tcPr>
          <w:p>
            <w:pPr>
              <w:spacing w:after="20" w:before="20"/>
            </w:pPr>
            <w:r>
              <w:rPr>
                <w:b/>
                <w:color w:val="FFFFFF"/>
                <w:sz w:val="16"/>
              </w:rPr>
              <w:t>Status</w:t>
            </w:r>
          </w:p>
        </w:tc>
        <w:tc>
          <w:tcPr>
            <w:tcW w:type="dxa" w:w="5083"/>
            <w:shd w:fill="273746"/>
            <w:vAlign w:val="center"/>
          </w:tcPr>
          <w:p>
            <w:pPr>
              <w:spacing w:after="20" w:before="20"/>
            </w:pPr>
            <w:r>
              <w:rPr>
                <w:b/>
                <w:color w:val="FFFFFF"/>
                <w:sz w:val="16"/>
              </w:rPr>
              <w:t>Details</w:t>
            </w:r>
          </w:p>
        </w:tc>
      </w:tr>
      <w:tr>
        <w:trPr>
          <w:cantSplit/>
        </w:trPr>
        <w:tc>
          <w:tcPr>
            <w:tcW w:type="dxa" w:w="5083"/>
            <w:vAlign w:val="center"/>
          </w:tcPr>
          <w:p>
            <w:pPr>
              <w:spacing w:after="20" w:before="20"/>
            </w:pPr>
            <w:r>
              <w:rPr>
                <w:sz w:val="16"/>
              </w:rPr>
              <w:t>Completed in the project folder</w:t>
            </w:r>
          </w:p>
        </w:tc>
        <w:tc>
          <w:tcPr>
            <w:tcW w:type="dxa" w:w="5083"/>
            <w:vAlign w:val="center"/>
          </w:tcPr>
          <w:p>
            <w:pPr>
              <w:spacing w:after="20" w:before="20"/>
            </w:pPr>
            <w:r>
              <w:rPr>
                <w:sz w:val="16"/>
              </w:rPr>
              <w:t>Flask dashboard with filters, search, metrics, CSV/PDF reports and source links; MySQL schema and generated 2015-2024 national and State/UT aggregates; README, Render Blueprint and environment-variable setup.</w:t>
            </w:r>
          </w:p>
        </w:tc>
      </w:tr>
      <w:tr>
        <w:trPr>
          <w:cantSplit/>
        </w:trPr>
        <w:tc>
          <w:tcPr>
            <w:tcW w:type="dxa" w:w="5083"/>
            <w:vAlign w:val="center"/>
          </w:tcPr>
          <w:p>
            <w:pPr>
              <w:spacing w:after="20" w:before="20"/>
            </w:pPr>
            <w:r>
              <w:rPr>
                <w:sz w:val="16"/>
              </w:rPr>
              <w:t>Not yet built</w:t>
            </w:r>
          </w:p>
        </w:tc>
        <w:tc>
          <w:tcPr>
            <w:tcW w:type="dxa" w:w="5083"/>
            <w:vAlign w:val="center"/>
          </w:tcPr>
          <w:p>
            <w:pPr>
              <w:spacing w:after="20" w:before="20"/>
            </w:pPr>
            <w:r>
              <w:rPr>
                <w:sz w:val="16"/>
              </w:rPr>
              <w:t>Provision an external MySQL host, import road_accident_database.sql, configure Render environment variables/network access, and deploy the web service. No public deployment URL exists until those account steps are completed. CSS comparisons are used instead of Matplotlib.</w:t>
            </w:r>
          </w:p>
        </w:tc>
      </w:tr>
      <w:tr>
        <w:trPr>
          <w:cantSplit/>
        </w:trPr>
        <w:tc>
          <w:tcPr>
            <w:tcW w:type="dxa" w:w="5083"/>
            <w:vAlign w:val="center"/>
          </w:tcPr>
          <w:p>
            <w:pPr>
              <w:spacing w:after="20" w:before="20"/>
            </w:pPr>
            <w:r>
              <w:rPr>
                <w:sz w:val="16"/>
              </w:rPr>
              <w:t>MySQL access</w:t>
            </w:r>
          </w:p>
        </w:tc>
        <w:tc>
          <w:tcPr>
            <w:tcW w:type="dxa" w:w="5083"/>
            <w:vAlign w:val="center"/>
          </w:tcPr>
          <w:p>
            <w:pPr>
              <w:spacing w:after="20" w:before="20"/>
            </w:pPr>
            <w:r>
              <w:rPr>
                <w:sz w:val="16"/>
              </w:rPr>
              <w:t>The application is configured to require MySQL in production and to use CSV only for local development. The SQL builder was verified against the bundled 2022 State/UT snapshot; a live MySQL-host connection has not been tested.</w:t>
            </w:r>
          </w:p>
        </w:tc>
      </w:tr>
      <w:tr>
        <w:trPr>
          <w:cantSplit/>
        </w:trPr>
        <w:tc>
          <w:tcPr>
            <w:tcW w:type="dxa" w:w="5083"/>
            <w:vAlign w:val="center"/>
          </w:tcPr>
          <w:p>
            <w:pPr>
              <w:spacing w:after="20" w:before="20"/>
            </w:pPr>
            <w:r>
              <w:rPr>
                <w:sz w:val="16"/>
              </w:rPr>
              <w:t>Recommended next steps</w:t>
            </w:r>
          </w:p>
        </w:tc>
        <w:tc>
          <w:tcPr>
            <w:tcW w:type="dxa" w:w="5083"/>
            <w:vAlign w:val="center"/>
          </w:tcPr>
          <w:p>
            <w:pPr>
              <w:spacing w:after="20" w:before="20"/>
            </w:pPr>
            <w:r>
              <w:rPr>
                <w:sz w:val="16"/>
              </w:rPr>
              <w:t>Push the project to GitHub without .env; provision MySQL 8 and import road_accident_database.sql; connect the repository in Render and enter database credentials in the Render environment settings; deploy and confirm /health is HTTP 200.</w:t>
            </w:r>
          </w:p>
        </w:tc>
      </w:tr>
    </w:tbl>
    <w:p>
      <w:pPr>
        <w:pStyle w:val="Heading1"/>
      </w:pPr>
      <w:r>
        <w:t>9. Assumptions, limits and open questions</w:t>
      </w:r>
    </w:p>
    <w:p>
      <w:pPr>
        <w:pStyle w:val="ListBullet"/>
        <w:spacing w:after="20"/>
      </w:pPr>
      <w:r>
        <w:t>Geography: India, with State/UT as the initial location level.</w:t>
      </w:r>
    </w:p>
    <w:p>
      <w:pPr>
        <w:pStyle w:val="ListBullet"/>
        <w:spacing w:after="20"/>
      </w:pPr>
      <w:r>
        <w:t>Data level: official aggregate statistics, not private or personally identifiable crash reports.</w:t>
      </w:r>
    </w:p>
    <w:p>
      <w:pPr>
        <w:pStyle w:val="ListBullet"/>
        <w:spacing w:after="20"/>
      </w:pPr>
      <w:r>
        <w:t>Current analysis scope: one year (2022) until earlier-year data is loaded; no time trend from the current seed alone.</w:t>
      </w:r>
    </w:p>
    <w:p>
      <w:pPr>
        <w:pStyle w:val="ListBullet"/>
        <w:spacing w:after="20"/>
      </w:pPr>
      <w:r>
        <w:t>AI is an optional enhancement, not a core requirement in the supplied brief.</w:t>
      </w:r>
    </w:p>
    <w:p>
      <w:pPr>
        <w:pStyle w:val="ListBullet"/>
        <w:spacing w:after="20"/>
      </w:pPr>
      <w:r>
        <w:t>Before adding features, confirm the exact government dataset, column definitions, source year coverage and reuse terms.</w:t>
      </w:r>
    </w:p>
    <w:p>
      <w:pPr>
        <w:pStyle w:val="ListBullet"/>
        <w:spacing w:after="20"/>
      </w:pPr>
      <w:r>
        <w:t>If the goal changes to road-segment hotspots or crash prediction, the team must first secure sufficiently detailed and documented data; current aggregate rows cannot support that.</w:t>
      </w:r>
    </w:p>
    <w:p>
      <w:pPr>
        <w:pStyle w:val="Heading1"/>
      </w:pPr>
      <w:r>
        <w:t>10. Quick answers for a new teammate or AI</w:t>
      </w:r>
    </w:p>
    <w:tbl>
      <w:tblPr>
        <w:tblStyle w:val="TableGrid"/>
        <w:tblW w:type="auto" w:w="0"/>
        <w:jc w:val="center"/>
        <w:tblLook w:firstColumn="1" w:firstRow="1" w:lastColumn="0" w:lastRow="0" w:noHBand="0" w:noVBand="1" w:val="04A0"/>
      </w:tblPr>
      <w:tblGrid>
        <w:gridCol w:w="5083"/>
        <w:gridCol w:w="5083"/>
      </w:tblGrid>
      <w:tr>
        <w:trPr>
          <w:cantSplit/>
          <w:tblHeader/>
        </w:trPr>
        <w:tc>
          <w:tcPr>
            <w:tcW w:type="dxa" w:w="5083"/>
            <w:shd w:fill="273746"/>
            <w:vAlign w:val="center"/>
          </w:tcPr>
          <w:p>
            <w:pPr>
              <w:spacing w:after="20" w:before="20"/>
            </w:pPr>
            <w:r>
              <w:rPr>
                <w:b/>
                <w:color w:val="FFFFFF"/>
                <w:sz w:val="16"/>
              </w:rPr>
              <w:t>Question</w:t>
            </w:r>
          </w:p>
        </w:tc>
        <w:tc>
          <w:tcPr>
            <w:tcW w:type="dxa" w:w="5083"/>
            <w:shd w:fill="273746"/>
            <w:vAlign w:val="center"/>
          </w:tcPr>
          <w:p>
            <w:pPr>
              <w:spacing w:after="20" w:before="20"/>
            </w:pPr>
            <w:r>
              <w:rPr>
                <w:b/>
                <w:color w:val="FFFFFF"/>
                <w:sz w:val="16"/>
              </w:rPr>
              <w:t>Answer</w:t>
            </w:r>
          </w:p>
        </w:tc>
      </w:tr>
      <w:tr>
        <w:trPr>
          <w:cantSplit/>
        </w:trPr>
        <w:tc>
          <w:tcPr>
            <w:tcW w:type="dxa" w:w="5083"/>
            <w:vAlign w:val="center"/>
          </w:tcPr>
          <w:p>
            <w:pPr>
              <w:spacing w:after="20" w:before="20"/>
            </w:pPr>
            <w:r>
              <w:rPr>
                <w:sz w:val="16"/>
              </w:rPr>
              <w:t>What are we building?</w:t>
            </w:r>
          </w:p>
        </w:tc>
        <w:tc>
          <w:tcPr>
            <w:tcW w:type="dxa" w:w="5083"/>
            <w:vAlign w:val="center"/>
          </w:tcPr>
          <w:p>
            <w:pPr>
              <w:spacing w:after="20" w:before="20"/>
            </w:pPr>
            <w:r>
              <w:rPr>
                <w:sz w:val="16"/>
              </w:rPr>
              <w:t>A Flask + MySQL road accident analysis website using Python data analysis and charts.</w:t>
            </w:r>
          </w:p>
        </w:tc>
      </w:tr>
      <w:tr>
        <w:trPr>
          <w:cantSplit/>
        </w:trPr>
        <w:tc>
          <w:tcPr>
            <w:tcW w:type="dxa" w:w="5083"/>
            <w:vAlign w:val="center"/>
          </w:tcPr>
          <w:p>
            <w:pPr>
              <w:spacing w:after="20" w:before="20"/>
            </w:pPr>
            <w:r>
              <w:rPr>
                <w:sz w:val="16"/>
              </w:rPr>
              <w:t>What data is loaded now?</w:t>
            </w:r>
          </w:p>
        </w:tc>
        <w:tc>
          <w:tcPr>
            <w:tcW w:type="dxa" w:w="5083"/>
            <w:vAlign w:val="center"/>
          </w:tcPr>
          <w:p>
            <w:pPr>
              <w:spacing w:after="20" w:before="20"/>
            </w:pPr>
            <w:r>
              <w:rPr>
                <w:sz w:val="16"/>
              </w:rPr>
              <w:t>The SQL builder loads national annual totals for 2015-2024, State/UT accident counts for 2015-2024, and available State/UT casualty figures for 2017-2023. The 2022 snapshot is included in those series.</w:t>
            </w:r>
          </w:p>
        </w:tc>
      </w:tr>
      <w:tr>
        <w:trPr>
          <w:cantSplit/>
        </w:trPr>
        <w:tc>
          <w:tcPr>
            <w:tcW w:type="dxa" w:w="5083"/>
            <w:vAlign w:val="center"/>
          </w:tcPr>
          <w:p>
            <w:pPr>
              <w:spacing w:after="20" w:before="20"/>
            </w:pPr>
            <w:r>
              <w:rPr>
                <w:sz w:val="16"/>
              </w:rPr>
              <w:t>Can I find exact crash locations now?</w:t>
            </w:r>
          </w:p>
        </w:tc>
        <w:tc>
          <w:tcPr>
            <w:tcW w:type="dxa" w:w="5083"/>
            <w:vAlign w:val="center"/>
          </w:tcPr>
          <w:p>
            <w:pPr>
              <w:spacing w:after="20" w:before="20"/>
            </w:pPr>
            <w:r>
              <w:rPr>
                <w:sz w:val="16"/>
              </w:rPr>
              <w:t>No. The current source is aggregate, so it cannot show street/junction hotspots.</w:t>
            </w:r>
          </w:p>
        </w:tc>
      </w:tr>
      <w:tr>
        <w:trPr>
          <w:cantSplit/>
        </w:trPr>
        <w:tc>
          <w:tcPr>
            <w:tcW w:type="dxa" w:w="5083"/>
            <w:vAlign w:val="center"/>
          </w:tcPr>
          <w:p>
            <w:pPr>
              <w:spacing w:after="20" w:before="20"/>
            </w:pPr>
            <w:r>
              <w:rPr>
                <w:sz w:val="16"/>
              </w:rPr>
              <w:t>Can we use Pandas?</w:t>
            </w:r>
          </w:p>
        </w:tc>
        <w:tc>
          <w:tcPr>
            <w:tcW w:type="dxa" w:w="5083"/>
            <w:vAlign w:val="center"/>
          </w:tcPr>
          <w:p>
            <w:pPr>
              <w:spacing w:after="20" w:before="20"/>
            </w:pPr>
            <w:r>
              <w:rPr>
                <w:sz w:val="16"/>
              </w:rPr>
              <w:t>Yes. Production always queries MySQL and returns an explicit service error if the database is unavailable; CSV is available only as an optional local development source.</w:t>
            </w:r>
          </w:p>
        </w:tc>
      </w:tr>
      <w:tr>
        <w:trPr>
          <w:cantSplit/>
        </w:trPr>
        <w:tc>
          <w:tcPr>
            <w:tcW w:type="dxa" w:w="5083"/>
            <w:vAlign w:val="center"/>
          </w:tcPr>
          <w:p>
            <w:pPr>
              <w:spacing w:after="20" w:before="20"/>
            </w:pPr>
            <w:r>
              <w:rPr>
                <w:sz w:val="16"/>
              </w:rPr>
              <w:t>Does the project require AI?</w:t>
            </w:r>
          </w:p>
        </w:tc>
        <w:tc>
          <w:tcPr>
            <w:tcW w:type="dxa" w:w="5083"/>
            <w:vAlign w:val="center"/>
          </w:tcPr>
          <w:p>
            <w:pPr>
              <w:spacing w:after="20" w:before="20"/>
            </w:pPr>
            <w:r>
              <w:rPr>
                <w:sz w:val="16"/>
              </w:rPr>
              <w:t>No. AI can be added as an optional, carefully labeled summary feature.</w:t>
            </w:r>
          </w:p>
        </w:tc>
      </w:tr>
      <w:tr>
        <w:trPr>
          <w:cantSplit/>
        </w:trPr>
        <w:tc>
          <w:tcPr>
            <w:tcW w:type="dxa" w:w="5083"/>
            <w:vAlign w:val="center"/>
          </w:tcPr>
          <w:p>
            <w:pPr>
              <w:spacing w:after="20" w:before="20"/>
            </w:pPr>
            <w:r>
              <w:rPr>
                <w:sz w:val="16"/>
              </w:rPr>
              <w:t>Where is the database setup?</w:t>
            </w:r>
          </w:p>
        </w:tc>
        <w:tc>
          <w:tcPr>
            <w:tcW w:type="dxa" w:w="5083"/>
            <w:vAlign w:val="center"/>
          </w:tcPr>
          <w:p>
            <w:pPr>
              <w:spacing w:after="20" w:before="20"/>
            </w:pPr>
            <w:r>
              <w:rPr>
                <w:sz w:val="16"/>
              </w:rPr>
              <w:t>road_accident_database.sql. Run it in MySQL Workbench after connecting to the local server.</w:t>
            </w:r>
          </w:p>
        </w:tc>
      </w:tr>
    </w:tbl>
    <w:p>
      <w:pPr>
        <w:pStyle w:val="Heading1"/>
      </w:pPr>
      <w:r>
        <w:t>Starter context to give another AI</w:t>
      </w:r>
    </w:p>
    <w:p>
      <w:pPr>
        <w:ind w:left="259" w:right="259"/>
      </w:pPr>
      <w:r>
        <w:rPr>
          <w:rFonts w:ascii="Aptos" w:hAnsi="Aptos"/>
          <w:sz w:val="17"/>
        </w:rPr>
        <w:t>We are building an educational Road Accident Data Analysis System for India. Read this handoff and road_accident_database.sql before proposing changes. The stack is Flask, Pandas, MySQL Connector, MySQL 8, ReportLab and Gunicorn. The bundled data includes national annual totals for 2015-2024 and State/UT accident totals for 2015-2024 with available casualty data for 2017-2023; it is not individual crash data and cannot support street-level hotspot claims. Build only features supported by the fields available, report missing data and limitations, keep credentials out of source control, and describe patterns as associations rather than causes. Current project status: Flask app and database integration are implemented. Production requires MySQL; CSV is local-only. The SQL builder creates the MySQL schema and seeds the bundled 2015-2024 national/State/UT series. Hosting-provider provisioning, Render credentials/network access, and public deployment remain to be completed by the account owner. Ask focused questions only when a decision is genuinely needed; otherwise state assumptions and proceed.</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Road Accident Data Analysis System  |  Master Project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830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18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 Accident Data Analysis System Project Master Handoff</dc:title>
  <dc:subject>Project goals, requirements, database, data sources, architecture and current status</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