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835"/>
      </w:tblGrid>
      <w:tr>
        <w:tc>
          <w:tcPr>
            <w:tcW w:type="dxa" w:w="9720"/>
            <w:shd w:fill="0F172A"/>
            <w:tcMar>
              <w:top w:w="360" w:type="dxa"/>
              <w:start w:w="280" w:type="dxa"/>
              <w:bottom w:w="360" w:type="dxa"/>
              <w:end w:w="280" w:type="dxa"/>
            </w:tcMar>
          </w:tcPr>
          <w:p>
            <w:pPr>
              <w:jc w:val="left"/>
            </w:pPr>
            <w:r>
              <w:rPr>
                <w:rFonts w:ascii="Arial" w:hAnsi="Arial" w:eastAsia="Arial"/>
                <w:b/>
                <w:color w:val="FFFFFF"/>
                <w:sz w:val="58"/>
              </w:rPr>
              <w:t>AI GROWTH AGENCY</w:t>
            </w:r>
          </w:p>
          <w:p>
            <w:pPr>
              <w:spacing w:after="160"/>
            </w:pPr>
            <w:r>
              <w:rPr>
                <w:rFonts w:ascii="Arial" w:hAnsi="Arial" w:eastAsia="Arial"/>
                <w:b/>
                <w:color w:val="99F6E4"/>
                <w:sz w:val="36"/>
              </w:rPr>
              <w:t>Master Product &amp; Execution Brief</w:t>
            </w:r>
          </w:p>
          <w:p>
            <w:pPr>
              <w:spacing w:after="0"/>
            </w:pPr>
            <w:r>
              <w:rPr>
                <w:rFonts w:ascii="Arial" w:hAnsi="Arial" w:eastAsia="Arial"/>
                <w:color w:val="E2E8F0"/>
                <w:sz w:val="21"/>
              </w:rPr>
              <w:t>Business thesis  •  Product strategy  •  PRD  •  Technical architecture  •  AI-agent workflows  •  Launch plan</w:t>
            </w:r>
          </w:p>
        </w:tc>
      </w:tr>
    </w:tbl>
    <w:p>
      <w:pPr>
        <w:spacing w:after="240"/>
        <w:widowControl w:val="1"/>
      </w:pPr>
    </w:p>
    <w:p>
      <w:pPr>
        <w:spacing w:after="120"/>
        <w:widowControl w:val="1"/>
      </w:pPr>
      <w:r>
        <w:rPr>
          <w:rFonts w:ascii="Arial" w:hAnsi="Arial" w:eastAsia="Arial"/>
          <w:b/>
          <w:color w:val="0F766E"/>
          <w:sz w:val="16"/>
          <w:shd w:fill="CCFBF1"/>
        </w:rPr>
        <w:t xml:space="preserve">  WORKING DEFINITION  </w:t>
      </w:r>
    </w:p>
    <w:p>
      <w:pPr>
        <w:spacing w:after="320"/>
        <w:jc w:val="left"/>
        <w:widowControl w:val="1"/>
      </w:pPr>
      <w:r>
        <w:rPr>
          <w:rFonts w:ascii="Arial" w:hAnsi="Arial" w:eastAsia="Arial"/>
          <w:b/>
          <w:color w:val="0F172A"/>
          <w:sz w:val="30"/>
        </w:rPr>
        <w:t>A vertical AI growth agency that plans campaigns, creates and publishes approved content, converts campaign interest into qualified appointments or customers, and learns from revenue outcomes.</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2736"/>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Document item</w:t>
            </w:r>
          </w:p>
        </w:tc>
        <w:tc>
          <w:tcPr>
            <w:tcW w:type="dxa" w:w="6983"/>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Current position</w:t>
            </w:r>
          </w:p>
        </w:tc>
      </w:tr>
      <w:tr>
        <w:trPr>
          <w:cantSplit/>
        </w:trPr>
        <w:tc>
          <w:tcPr>
            <w:tcW w:type="dxa" w:w="273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Status</w:t>
            </w:r>
          </w:p>
        </w:tc>
        <w:tc>
          <w:tcPr>
            <w:tcW w:type="dxa" w:w="6983"/>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Founder discussion and pre-development alignment</w:t>
            </w:r>
          </w:p>
        </w:tc>
      </w:tr>
      <w:tr>
        <w:trPr>
          <w:cantSplit/>
        </w:trPr>
        <w:tc>
          <w:tcPr>
            <w:tcW w:type="dxa" w:w="273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Primary reader</w:t>
            </w:r>
          </w:p>
        </w:tc>
        <w:tc>
          <w:tcPr>
            <w:tcW w:type="dxa" w:w="6983"/>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Founder + GPT-5.6 Sol; later Cursor and Hermes</w:t>
            </w:r>
          </w:p>
        </w:tc>
      </w:tr>
      <w:tr>
        <w:trPr>
          <w:cantSplit/>
        </w:trPr>
        <w:tc>
          <w:tcPr>
            <w:tcW w:type="dxa" w:w="273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Initial market</w:t>
            </w:r>
          </w:p>
        </w:tc>
        <w:tc>
          <w:tcPr>
            <w:tcW w:type="dxa" w:w="6983"/>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Appointment-based service businesses; one vertical first</w:t>
            </w:r>
          </w:p>
        </w:tc>
      </w:tr>
      <w:tr>
        <w:trPr>
          <w:cantSplit/>
        </w:trPr>
        <w:tc>
          <w:tcPr>
            <w:tcW w:type="dxa" w:w="273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First measurable outcome</w:t>
            </w:r>
          </w:p>
        </w:tc>
        <w:tc>
          <w:tcPr>
            <w:tcW w:type="dxa" w:w="6983"/>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Qualified attended booking, consultation, demo, or trial</w:t>
            </w:r>
          </w:p>
        </w:tc>
      </w:tr>
      <w:tr>
        <w:trPr>
          <w:cantSplit/>
        </w:trPr>
        <w:tc>
          <w:tcPr>
            <w:tcW w:type="dxa" w:w="273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Build principle</w:t>
            </w:r>
          </w:p>
        </w:tc>
        <w:tc>
          <w:tcPr>
            <w:tcW w:type="dxa" w:w="6983"/>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Complete one campaign-to-conversion loop before expanding breadth</w:t>
            </w:r>
          </w:p>
        </w:tc>
      </w:tr>
      <w:tr>
        <w:trPr>
          <w:cantSplit/>
        </w:trPr>
        <w:tc>
          <w:tcPr>
            <w:tcW w:type="dxa" w:w="273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Freshness date</w:t>
            </w:r>
          </w:p>
        </w:tc>
        <w:tc>
          <w:tcPr>
            <w:tcW w:type="dxa" w:w="6983"/>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Market and tool references checked 13 July 2026</w:t>
            </w:r>
          </w:p>
        </w:tc>
      </w:tr>
    </w:tbl>
    <w:p>
      <w:pPr>
        <w:spacing w:after="20"/>
        <w:widowControl w:val="1"/>
      </w:pPr>
    </w:p>
    <w:tbl>
      <w:tblPr>
        <w:tblW w:type="auto" w:w="0"/>
        <w:jc w:val="center"/>
        <w:tblLayout w:type="fixed"/>
        <w:tblLook w:firstColumn="1" w:firstRow="1" w:lastColumn="0" w:lastRow="0" w:noHBand="0" w:noVBand="1" w:val="04A0"/>
      </w:tblPr>
      <w:tblGrid>
        <w:gridCol w:w="9835"/>
      </w:tblGrid>
      <w:tr>
        <w:trPr>
          <w:cantSplit/>
        </w:trPr>
        <w:tc>
          <w:tcPr>
            <w:tcW w:type="dxa" w:w="9720"/>
            <w:shd w:fill="CCFBF1"/>
            <w:tcMar>
              <w:top w:w="120" w:type="dxa"/>
              <w:start w:w="150" w:type="dxa"/>
              <w:bottom w:w="120" w:type="dxa"/>
              <w:end w:w="150" w:type="dxa"/>
            </w:tcMar>
            <w:tcBorders>
              <w:top w:val="nil"/>
              <w:start w:val="single" w:sz="18" w:color="0F766E"/>
              <w:bottom w:val="nil"/>
              <w:end w:val="nil"/>
            </w:tcBorders>
          </w:tcPr>
          <w:p>
            <w:pPr>
              <w:spacing w:after="60"/>
            </w:pPr>
            <w:r>
              <w:rPr>
                <w:rFonts w:ascii="Arial" w:hAnsi="Arial" w:eastAsia="Arial"/>
                <w:b/>
                <w:color w:val="0F766E"/>
                <w:sz w:val="21"/>
              </w:rPr>
              <w:t>Purpose of this document</w:t>
            </w:r>
          </w:p>
          <w:p>
            <w:pPr>
              <w:spacing w:after="0"/>
            </w:pPr>
            <w:r>
              <w:rPr>
                <w:rFonts w:ascii="Arial" w:hAnsi="Arial" w:eastAsia="Arial"/>
                <w:color w:val="0F172A"/>
                <w:sz w:val="19"/>
              </w:rPr>
              <w:t>Upload this file to GPT-5.6 Sol for rigorous strategy discussion before coding. After major decisions are approved, use it as the shared product context for Cursor, Hermes, and the repository documentation.</w:t>
            </w:r>
          </w:p>
        </w:tc>
      </w:tr>
    </w:tbl>
    <w:p>
      <w:pPr>
        <w:spacing w:after="20"/>
        <w:widowControl w:val="1"/>
      </w:pPr>
    </w:p>
    <w:p>
      <w:pPr>
        <w:jc w:val="center"/>
        <w:widowControl w:val="1"/>
      </w:pPr>
      <w:r>
        <w:rPr>
          <w:rFonts w:ascii="Arial" w:hAnsi="Arial" w:eastAsia="Arial"/>
          <w:i/>
          <w:color w:val="64748B"/>
          <w:sz w:val="17"/>
        </w:rPr>
        <w:t>Prepared as a living document. Decisions should be updated in the repository, not left only inside chat history.</w:t>
      </w:r>
    </w:p>
    <w:p>
      <w:pPr>
        <w:widowControl w:val="1"/>
      </w:pPr>
      <w:r>
        <w:br w:type="page"/>
      </w:r>
    </w:p>
    <w:p>
      <w:pPr>
        <w:keepNext/>
        <w:spacing w:before="0" w:after="100"/>
        <w:widowControl w:val="1"/>
      </w:pPr>
      <w:r>
        <w:rPr>
          <w:rFonts w:ascii="Arial" w:hAnsi="Arial" w:eastAsia="Arial"/>
          <w:b/>
          <w:color w:val="0F172A"/>
          <w:sz w:val="38"/>
        </w:rPr>
        <w:t>0  How to use this document</w:t>
      </w:r>
    </w:p>
    <w:p>
      <w:pPr>
        <w:keepNext/>
        <w:spacing w:after="160"/>
        <w:widowControl w:val="1"/>
      </w:pPr>
      <w:r>
        <w:rPr>
          <w:rFonts w:ascii="Arial" w:hAnsi="Arial" w:eastAsia="Arial"/>
          <w:color w:val="0F766E"/>
          <w:sz w:val="14"/>
        </w:rPr>
        <w:t>━━━━━━━━━━━━━━━━━━━━━━━━━━━━━━━━━━━━━━━━</w:t>
      </w:r>
    </w:p>
    <w:p>
      <w:pPr>
        <w:keepNext/>
        <w:spacing w:after="160"/>
        <w:widowControl w:val="1"/>
      </w:pPr>
      <w:r>
        <w:rPr>
          <w:rFonts w:ascii="Arial" w:hAnsi="Arial" w:eastAsia="Arial"/>
          <w:i/>
          <w:color w:val="64748B"/>
          <w:sz w:val="20"/>
        </w:rPr>
        <w:t>Use GPT Sol for judgment, Cursor for implementation, Hermes for continuity and operations, and Git as the source of truth.</w:t>
      </w:r>
    </w:p>
    <w:p>
      <w:pPr>
        <w:pStyle w:val="Heading2"/>
        <w:keepNext/>
        <w:spacing w:before="160" w:after="80"/>
        <w:widowControl w:val="1"/>
      </w:pPr>
      <w:r>
        <w:rPr>
          <w:rFonts w:ascii="Arial" w:hAnsi="Arial" w:eastAsia="Arial"/>
          <w:b/>
          <w:color w:val="0F766E"/>
          <w:sz w:val="26"/>
        </w:rPr>
        <w:t>Recommended sequence</w:t>
      </w:r>
    </w:p>
    <w:p>
      <w:pPr>
        <w:spacing w:after="60"/>
        <w:ind w:left="360" w:hanging="360"/>
        <w:widowControl w:val="1"/>
      </w:pPr>
      <w:r>
        <w:rPr>
          <w:rFonts w:ascii="Arial" w:hAnsi="Arial" w:eastAsia="Arial"/>
          <w:b/>
          <w:color w:val="0F172A"/>
          <w:sz w:val="20"/>
        </w:rPr>
        <w:t>1.</w:t>
      </w:r>
      <w:r>
        <w:rPr>
          <w:rFonts w:ascii="Arial" w:hAnsi="Arial" w:eastAsia="Arial"/>
          <w:color w:val="0F172A"/>
          <w:sz w:val="20"/>
        </w:rPr>
        <w:t xml:space="preserve">  Upload this document to GPT-5.6 Sol and use the opening prompt below.</w:t>
      </w:r>
    </w:p>
    <w:p>
      <w:pPr>
        <w:spacing w:after="60"/>
        <w:ind w:left="360" w:hanging="360"/>
        <w:widowControl w:val="1"/>
      </w:pPr>
      <w:r>
        <w:rPr>
          <w:rFonts w:ascii="Arial" w:hAnsi="Arial" w:eastAsia="Arial"/>
          <w:b/>
          <w:color w:val="0F172A"/>
          <w:sz w:val="20"/>
        </w:rPr>
        <w:t>2.</w:t>
      </w:r>
      <w:r>
        <w:rPr>
          <w:rFonts w:ascii="Arial" w:hAnsi="Arial" w:eastAsia="Arial"/>
          <w:color w:val="0F172A"/>
          <w:sz w:val="20"/>
        </w:rPr>
        <w:t xml:space="preserve">  Discuss the unresolved strategy and architecture decisions. Do not start implementation until the initial vertical, outcome, MVP boundary, channels, and system architecture are approved.</w:t>
      </w:r>
    </w:p>
    <w:p>
      <w:pPr>
        <w:spacing w:after="60"/>
        <w:ind w:left="360" w:hanging="360"/>
        <w:widowControl w:val="1"/>
      </w:pPr>
      <w:r>
        <w:rPr>
          <w:rFonts w:ascii="Arial" w:hAnsi="Arial" w:eastAsia="Arial"/>
          <w:b/>
          <w:color w:val="0F172A"/>
          <w:sz w:val="20"/>
        </w:rPr>
        <w:t>3.</w:t>
      </w:r>
      <w:r>
        <w:rPr>
          <w:rFonts w:ascii="Arial" w:hAnsi="Arial" w:eastAsia="Arial"/>
          <w:color w:val="0F172A"/>
          <w:sz w:val="20"/>
        </w:rPr>
        <w:t xml:space="preserve">  Record each important decision as an Architecture Decision Record (ADR) in the repository.</w:t>
      </w:r>
    </w:p>
    <w:p>
      <w:pPr>
        <w:spacing w:after="60"/>
        <w:ind w:left="360" w:hanging="360"/>
        <w:widowControl w:val="1"/>
      </w:pPr>
      <w:r>
        <w:rPr>
          <w:rFonts w:ascii="Arial" w:hAnsi="Arial" w:eastAsia="Arial"/>
          <w:b/>
          <w:color w:val="0F172A"/>
          <w:sz w:val="20"/>
        </w:rPr>
        <w:t>4.</w:t>
      </w:r>
      <w:r>
        <w:rPr>
          <w:rFonts w:ascii="Arial" w:hAnsi="Arial" w:eastAsia="Arial"/>
          <w:color w:val="0F172A"/>
          <w:sz w:val="20"/>
        </w:rPr>
        <w:t xml:space="preserve">  Let Cursor implement one small, testable work item at a time on feature branches.</w:t>
      </w:r>
    </w:p>
    <w:p>
      <w:pPr>
        <w:spacing w:after="60"/>
        <w:ind w:left="360" w:hanging="360"/>
        <w:widowControl w:val="1"/>
      </w:pPr>
      <w:r>
        <w:rPr>
          <w:rFonts w:ascii="Arial" w:hAnsi="Arial" w:eastAsia="Arial"/>
          <w:b/>
          <w:color w:val="0F172A"/>
          <w:sz w:val="20"/>
        </w:rPr>
        <w:t>5.</w:t>
      </w:r>
      <w:r>
        <w:rPr>
          <w:rFonts w:ascii="Arial" w:hAnsi="Arial" w:eastAsia="Arial"/>
          <w:color w:val="0F172A"/>
          <w:sz w:val="20"/>
        </w:rPr>
        <w:t xml:space="preserve">  Use Hermes to maintain project memory, research changing APIs, run recurring QA/documentation workflows, and coordinate status from your phone.</w:t>
      </w:r>
    </w:p>
    <w:p>
      <w:pPr>
        <w:spacing w:after="60"/>
        <w:ind w:left="360" w:hanging="360"/>
        <w:widowControl w:val="1"/>
      </w:pPr>
      <w:r>
        <w:rPr>
          <w:rFonts w:ascii="Arial" w:hAnsi="Arial" w:eastAsia="Arial"/>
          <w:b/>
          <w:color w:val="0F172A"/>
          <w:sz w:val="20"/>
        </w:rPr>
        <w:t>6.</w:t>
      </w:r>
      <w:r>
        <w:rPr>
          <w:rFonts w:ascii="Arial" w:hAnsi="Arial" w:eastAsia="Arial"/>
          <w:color w:val="0F172A"/>
          <w:sz w:val="20"/>
        </w:rPr>
        <w:t xml:space="preserve">  Update this brief when the product direction changes materially.</w:t>
      </w:r>
    </w:p>
    <w:p>
      <w:pPr>
        <w:pStyle w:val="Heading2"/>
        <w:keepNext/>
        <w:spacing w:before="160" w:after="80"/>
        <w:widowControl w:val="1"/>
      </w:pPr>
      <w:r>
        <w:rPr>
          <w:rFonts w:ascii="Arial" w:hAnsi="Arial" w:eastAsia="Arial"/>
          <w:b/>
          <w:color w:val="0F766E"/>
          <w:sz w:val="26"/>
        </w:rPr>
        <w:t>Opening prompt for GPT-5.6 Sol</w:t>
      </w:r>
    </w:p>
    <w:tbl>
      <w:tblPr>
        <w:tblW w:type="auto" w:w="0"/>
        <w:jc w:val="center"/>
        <w:tblLayout w:type="fixed"/>
        <w:tblLook w:firstColumn="1" w:firstRow="1" w:lastColumn="0" w:lastRow="0" w:noHBand="0" w:noVBand="1" w:val="04A0"/>
      </w:tblPr>
      <w:tblGrid>
        <w:gridCol w:w="9835"/>
      </w:tblGrid>
      <w:tr>
        <w:trPr>
          <w:cantSplit/>
        </w:trPr>
        <w:tc>
          <w:tcPr>
            <w:tcW w:type="dxa" w:w="9720"/>
            <w:shd w:fill="F1F5F9"/>
            <w:tcBorders>
              <w:top w:val="single" w:sz="6" w:color="CBD5E1"/>
              <w:start w:val="single" w:sz="6" w:color="CBD5E1"/>
              <w:bottom w:val="single" w:sz="6" w:color="CBD5E1"/>
              <w:end w:val="single" w:sz="6" w:color="CBD5E1"/>
            </w:tcBorders>
            <w:tcMar>
              <w:top w:w="100" w:type="dxa"/>
              <w:start w:w="130" w:type="dxa"/>
              <w:bottom w:w="100" w:type="dxa"/>
              <w:end w:w="130" w:type="dxa"/>
            </w:tcMar>
          </w:tcPr>
          <w:p>
            <w:pPr>
              <w:spacing w:after="0"/>
            </w:pPr>
            <w:r>
              <w:rPr>
                <w:rFonts w:ascii="Courier New" w:hAnsi="Courier New" w:eastAsia="Courier New"/>
                <w:color w:val="1E293B"/>
                <w:sz w:val="17"/>
              </w:rPr>
              <w:t>You are joining this project as a critical product strategist, startup operator, and system architect.</w:t>
            </w:r>
            <w:r>
              <w:br/>
            </w:r>
            <w:r>
              <w:rPr>
                <w:rFonts w:ascii="Courier New" w:hAnsi="Courier New" w:eastAsia="Courier New"/>
                <w:color w:val="1E293B"/>
                <w:sz w:val="17"/>
              </w:rPr>
            </w:r>
            <w:r>
              <w:br/>
            </w:r>
            <w:r>
              <w:rPr>
                <w:rFonts w:ascii="Courier New" w:hAnsi="Courier New" w:eastAsia="Courier New"/>
                <w:color w:val="1E293B"/>
                <w:sz w:val="17"/>
              </w:rPr>
              <w:t>Read the attached Master Product &amp; Execution Brief completely.</w:t>
            </w:r>
            <w:r>
              <w:br/>
            </w:r>
            <w:r>
              <w:rPr>
                <w:rFonts w:ascii="Courier New" w:hAnsi="Courier New" w:eastAsia="Courier New"/>
                <w:color w:val="1E293B"/>
                <w:sz w:val="17"/>
              </w:rPr>
              <w:t>Do not start coding yet.</w:t>
            </w:r>
            <w:r>
              <w:br/>
            </w:r>
            <w:r>
              <w:rPr>
                <w:rFonts w:ascii="Courier New" w:hAnsi="Courier New" w:eastAsia="Courier New"/>
                <w:color w:val="1E293B"/>
                <w:sz w:val="17"/>
              </w:rPr>
            </w:r>
            <w:r>
              <w:br/>
            </w:r>
            <w:r>
              <w:rPr>
                <w:rFonts w:ascii="Courier New" w:hAnsi="Courier New" w:eastAsia="Courier New"/>
                <w:color w:val="1E293B"/>
                <w:sz w:val="17"/>
              </w:rPr>
              <w:t>First, produce:</w:t>
            </w:r>
            <w:r>
              <w:br/>
            </w:r>
            <w:r>
              <w:rPr>
                <w:rFonts w:ascii="Courier New" w:hAnsi="Courier New" w:eastAsia="Courier New"/>
                <w:color w:val="1E293B"/>
                <w:sz w:val="17"/>
              </w:rPr>
              <w:t>1. A plain-language restatement of the business and product.</w:t>
            </w:r>
            <w:r>
              <w:br/>
            </w:r>
            <w:r>
              <w:rPr>
                <w:rFonts w:ascii="Courier New" w:hAnsi="Courier New" w:eastAsia="Courier New"/>
                <w:color w:val="1E293B"/>
                <w:sz w:val="17"/>
              </w:rPr>
              <w:t>2. The strongest case for the idea and the strongest case against it.</w:t>
            </w:r>
            <w:r>
              <w:br/>
            </w:r>
            <w:r>
              <w:rPr>
                <w:rFonts w:ascii="Courier New" w:hAnsi="Courier New" w:eastAsia="Courier New"/>
                <w:color w:val="1E293B"/>
                <w:sz w:val="17"/>
              </w:rPr>
              <w:t>3. The ten assumptions most likely to make the product fail.</w:t>
            </w:r>
            <w:r>
              <w:br/>
            </w:r>
            <w:r>
              <w:rPr>
                <w:rFonts w:ascii="Courier New" w:hAnsi="Courier New" w:eastAsia="Courier New"/>
                <w:color w:val="1E293B"/>
                <w:sz w:val="17"/>
              </w:rPr>
              <w:t>4. A recommended initial customer vertical and measurable outcome.</w:t>
            </w:r>
            <w:r>
              <w:br/>
            </w:r>
            <w:r>
              <w:rPr>
                <w:rFonts w:ascii="Courier New" w:hAnsi="Courier New" w:eastAsia="Courier New"/>
                <w:color w:val="1E293B"/>
                <w:sz w:val="17"/>
              </w:rPr>
              <w:t>5. A ruthless MVP scope: what is P0, what is later, and what should never be built.</w:t>
            </w:r>
            <w:r>
              <w:br/>
            </w:r>
            <w:r>
              <w:rPr>
                <w:rFonts w:ascii="Courier New" w:hAnsi="Courier New" w:eastAsia="Courier New"/>
                <w:color w:val="1E293B"/>
                <w:sz w:val="17"/>
              </w:rPr>
              <w:t>6. A proposed technical architecture, including build-vs-buy decisions.</w:t>
            </w:r>
            <w:r>
              <w:br/>
            </w:r>
            <w:r>
              <w:rPr>
                <w:rFonts w:ascii="Courier New" w:hAnsi="Courier New" w:eastAsia="Courier New"/>
                <w:color w:val="1E293B"/>
                <w:sz w:val="17"/>
              </w:rPr>
              <w:t>7. A risk register covering market, product, platform APIs, AI reliability, privacy, and cost.</w:t>
            </w:r>
            <w:r>
              <w:br/>
            </w:r>
            <w:r>
              <w:rPr>
                <w:rFonts w:ascii="Courier New" w:hAnsi="Courier New" w:eastAsia="Courier New"/>
                <w:color w:val="1E293B"/>
                <w:sz w:val="17"/>
              </w:rPr>
              <w:t>8. The decisions you need from me before execution.</w:t>
            </w:r>
            <w:r>
              <w:br/>
            </w:r>
            <w:r>
              <w:rPr>
                <w:rFonts w:ascii="Courier New" w:hAnsi="Courier New" w:eastAsia="Courier New"/>
                <w:color w:val="1E293B"/>
                <w:sz w:val="17"/>
              </w:rPr>
            </w:r>
            <w:r>
              <w:br/>
            </w:r>
            <w:r>
              <w:rPr>
                <w:rFonts w:ascii="Courier New" w:hAnsi="Courier New" w:eastAsia="Courier New"/>
                <w:color w:val="1E293B"/>
                <w:sz w:val="17"/>
              </w:rPr>
              <w:t>Challenge the brief where necessary. Do not simply agree with it.</w:t>
            </w:r>
            <w:r>
              <w:br/>
            </w:r>
            <w:r>
              <w:rPr>
                <w:rFonts w:ascii="Courier New" w:hAnsi="Courier New" w:eastAsia="Courier New"/>
                <w:color w:val="1E293B"/>
                <w:sz w:val="17"/>
              </w:rPr>
              <w:t>Use clear tables and finish with a recommended decision sequence.</w:t>
            </w:r>
          </w:p>
        </w:tc>
      </w:tr>
    </w:tbl>
    <w:p>
      <w:pPr>
        <w:spacing w:after="20"/>
        <w:widowControl w:val="1"/>
      </w:pPr>
    </w:p>
    <w:p>
      <w:pPr>
        <w:pStyle w:val="Heading2"/>
        <w:keepNext/>
        <w:spacing w:before="160" w:after="80"/>
        <w:widowControl w:val="1"/>
      </w:pPr>
      <w:r>
        <w:rPr>
          <w:rFonts w:ascii="Arial" w:hAnsi="Arial" w:eastAsia="Arial"/>
          <w:b/>
          <w:color w:val="0F766E"/>
          <w:sz w:val="26"/>
        </w:rPr>
        <w:t>Document map</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3096"/>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Section</w:t>
            </w:r>
          </w:p>
        </w:tc>
        <w:tc>
          <w:tcPr>
            <w:tcW w:type="dxa" w:w="6623"/>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What it answers</w:t>
            </w:r>
          </w:p>
        </w:tc>
      </w:tr>
      <w:tr>
        <w:trPr>
          <w:cantSplit/>
        </w:trPr>
        <w:tc>
          <w:tcPr>
            <w:tcW w:type="dxa" w:w="309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1. Executive thesis</w:t>
            </w:r>
          </w:p>
        </w:tc>
        <w:tc>
          <w:tcPr>
            <w:tcW w:type="dxa" w:w="6623"/>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What are we building, for whom, and why now?</w:t>
            </w:r>
          </w:p>
        </w:tc>
      </w:tr>
      <w:tr>
        <w:trPr>
          <w:cantSplit/>
        </w:trPr>
        <w:tc>
          <w:tcPr>
            <w:tcW w:type="dxa" w:w="309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2. Market position</w:t>
            </w:r>
          </w:p>
        </w:tc>
        <w:tc>
          <w:tcPr>
            <w:tcW w:type="dxa" w:w="6623"/>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How do Ocoya, HighLevel, HubSpot, Jasper, and others affect the strategy?</w:t>
            </w:r>
          </w:p>
        </w:tc>
      </w:tr>
      <w:tr>
        <w:trPr>
          <w:cantSplit/>
        </w:trPr>
        <w:tc>
          <w:tcPr>
            <w:tcW w:type="dxa" w:w="309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3. Product strategy</w:t>
            </w:r>
          </w:p>
        </w:tc>
        <w:tc>
          <w:tcPr>
            <w:tcW w:type="dxa" w:w="6623"/>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Where can we win without recreating every competitor feature?</w:t>
            </w:r>
          </w:p>
        </w:tc>
      </w:tr>
      <w:tr>
        <w:trPr>
          <w:cantSplit/>
        </w:trPr>
        <w:tc>
          <w:tcPr>
            <w:tcW w:type="dxa" w:w="309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4. Product system</w:t>
            </w:r>
          </w:p>
        </w:tc>
        <w:tc>
          <w:tcPr>
            <w:tcW w:type="dxa" w:w="6623"/>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What are the major modules and user journeys?</w:t>
            </w:r>
          </w:p>
        </w:tc>
      </w:tr>
      <w:tr>
        <w:trPr>
          <w:cantSplit/>
        </w:trPr>
        <w:tc>
          <w:tcPr>
            <w:tcW w:type="dxa" w:w="309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5. Lead-conversion strategy</w:t>
            </w:r>
          </w:p>
        </w:tc>
        <w:tc>
          <w:tcPr>
            <w:tcW w:type="dxa" w:w="6623"/>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How will campaigns become qualified appointments and revenue?</w:t>
            </w:r>
          </w:p>
        </w:tc>
      </w:tr>
      <w:tr>
        <w:trPr>
          <w:cantSplit/>
        </w:trPr>
        <w:tc>
          <w:tcPr>
            <w:tcW w:type="dxa" w:w="309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6. AI and workflow design</w:t>
            </w:r>
          </w:p>
        </w:tc>
        <w:tc>
          <w:tcPr>
            <w:tcW w:type="dxa" w:w="6623"/>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Which agents exist, what can they do, and where is human approval required?</w:t>
            </w:r>
          </w:p>
        </w:tc>
      </w:tr>
      <w:tr>
        <w:trPr>
          <w:cantSplit/>
        </w:trPr>
        <w:tc>
          <w:tcPr>
            <w:tcW w:type="dxa" w:w="309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7. Technical architecture</w:t>
            </w:r>
          </w:p>
        </w:tc>
        <w:tc>
          <w:tcPr>
            <w:tcW w:type="dxa" w:w="6623"/>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How should the application, data, jobs, integrations, and models be built?</w:t>
            </w:r>
          </w:p>
        </w:tc>
      </w:tr>
      <w:tr>
        <w:trPr>
          <w:cantSplit/>
        </w:trPr>
        <w:tc>
          <w:tcPr>
            <w:tcW w:type="dxa" w:w="309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8. Development operating model</w:t>
            </w:r>
          </w:p>
        </w:tc>
        <w:tc>
          <w:tcPr>
            <w:tcW w:type="dxa" w:w="6623"/>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How do MacBook, GPT Sol, Cursor, Hermes, Git, and documentation work together?</w:t>
            </w:r>
          </w:p>
        </w:tc>
      </w:tr>
      <w:tr>
        <w:trPr>
          <w:cantSplit/>
        </w:trPr>
        <w:tc>
          <w:tcPr>
            <w:tcW w:type="dxa" w:w="309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9. Roadmap and launch</w:t>
            </w:r>
          </w:p>
        </w:tc>
        <w:tc>
          <w:tcPr>
            <w:tcW w:type="dxa" w:w="6623"/>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What should be built first, piloted, measured, and commercialized?</w:t>
            </w:r>
          </w:p>
        </w:tc>
      </w:tr>
      <w:tr>
        <w:trPr>
          <w:cantSplit/>
        </w:trPr>
        <w:tc>
          <w:tcPr>
            <w:tcW w:type="dxa" w:w="309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10. Decisions and prompts</w:t>
            </w:r>
          </w:p>
        </w:tc>
        <w:tc>
          <w:tcPr>
            <w:tcW w:type="dxa" w:w="6623"/>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What must be resolved next, and how should GPT Sol be used?</w:t>
            </w:r>
          </w:p>
        </w:tc>
      </w:tr>
    </w:tbl>
    <w:p>
      <w:pPr>
        <w:spacing w:after="20"/>
        <w:widowControl w:val="1"/>
      </w:pPr>
    </w:p>
    <w:tbl>
      <w:tblPr>
        <w:tblW w:type="auto" w:w="0"/>
        <w:jc w:val="center"/>
        <w:tblLayout w:type="fixed"/>
        <w:tblLook w:firstColumn="1" w:firstRow="1" w:lastColumn="0" w:lastRow="0" w:noHBand="0" w:noVBand="1" w:val="04A0"/>
      </w:tblPr>
      <w:tblGrid>
        <w:gridCol w:w="9835"/>
      </w:tblGrid>
      <w:tr>
        <w:trPr>
          <w:cantSplit/>
        </w:trPr>
        <w:tc>
          <w:tcPr>
            <w:tcW w:type="dxa" w:w="9720"/>
            <w:shd w:fill="FEF3C7"/>
            <w:tcMar>
              <w:top w:w="120" w:type="dxa"/>
              <w:start w:w="150" w:type="dxa"/>
              <w:bottom w:w="120" w:type="dxa"/>
              <w:end w:w="150" w:type="dxa"/>
            </w:tcMar>
            <w:tcBorders>
              <w:top w:val="nil"/>
              <w:start w:val="single" w:sz="18" w:color="B45309"/>
              <w:bottom w:val="nil"/>
              <w:end w:val="nil"/>
            </w:tcBorders>
          </w:tcPr>
          <w:p>
            <w:pPr>
              <w:spacing w:after="60"/>
            </w:pPr>
            <w:r>
              <w:rPr>
                <w:rFonts w:ascii="Arial" w:hAnsi="Arial" w:eastAsia="Arial"/>
                <w:b/>
                <w:color w:val="B45309"/>
                <w:sz w:val="21"/>
              </w:rPr>
              <w:t>Important account distinction</w:t>
            </w:r>
          </w:p>
          <w:p>
            <w:pPr>
              <w:spacing w:after="0"/>
            </w:pPr>
            <w:r>
              <w:rPr>
                <w:rFonts w:ascii="Arial" w:hAnsi="Arial" w:eastAsia="Arial"/>
                <w:color w:val="0F172A"/>
                <w:sz w:val="19"/>
              </w:rPr>
              <w:t>A ChatGPT subscription can be used for planning and review with GPT-5.6 Sol. Production use of OpenAI models inside the application requires an OpenAI API account with separate billing. Treat these as two different budgets.</w:t>
            </w:r>
          </w:p>
        </w:tc>
      </w:tr>
    </w:tbl>
    <w:p>
      <w:pPr>
        <w:spacing w:after="20"/>
        <w:widowControl w:val="1"/>
      </w:pPr>
    </w:p>
    <w:p>
      <w:pPr>
        <w:keepNext/>
        <w:spacing w:before="0" w:after="100"/>
        <w:widowControl w:val="1"/>
      </w:pPr>
      <w:r>
        <w:rPr>
          <w:rFonts w:ascii="Arial" w:hAnsi="Arial" w:eastAsia="Arial"/>
          <w:b/>
          <w:color w:val="0F172A"/>
          <w:sz w:val="38"/>
        </w:rPr>
        <w:t>1  Executive thesis</w:t>
      </w:r>
    </w:p>
    <w:p>
      <w:pPr>
        <w:keepNext/>
        <w:spacing w:after="160"/>
        <w:widowControl w:val="1"/>
      </w:pPr>
      <w:r>
        <w:rPr>
          <w:rFonts w:ascii="Arial" w:hAnsi="Arial" w:eastAsia="Arial"/>
          <w:color w:val="0F766E"/>
          <w:sz w:val="14"/>
        </w:rPr>
        <w:t>━━━━━━━━━━━━━━━━━━━━━━━━━━━━━━━━━━━━━━━━</w:t>
      </w:r>
    </w:p>
    <w:p>
      <w:pPr>
        <w:keepNext/>
        <w:spacing w:after="160"/>
        <w:widowControl w:val="1"/>
      </w:pPr>
      <w:r>
        <w:rPr>
          <w:rFonts w:ascii="Arial" w:hAnsi="Arial" w:eastAsia="Arial"/>
          <w:i/>
          <w:color w:val="64748B"/>
          <w:sz w:val="20"/>
        </w:rPr>
        <w:t>The business should sell growth outcomes, not a monthly quota of AI-generated posts.</w:t>
      </w:r>
    </w:p>
    <w:p>
      <w:pPr>
        <w:pStyle w:val="Heading2"/>
        <w:keepNext/>
        <w:spacing w:before="160" w:after="80"/>
        <w:widowControl w:val="1"/>
      </w:pPr>
      <w:r>
        <w:rPr>
          <w:rFonts w:ascii="Arial" w:hAnsi="Arial" w:eastAsia="Arial"/>
          <w:b/>
          <w:color w:val="0F766E"/>
          <w:sz w:val="26"/>
        </w:rPr>
        <w:t>The idea in easy language</w:t>
      </w:r>
    </w:p>
    <w:p>
      <w:pPr>
        <w:keepNext w:val="0"/>
        <w:spacing w:after="100" w:before="0"/>
        <w:widowControl w:val="1"/>
      </w:pPr>
      <w:r>
        <w:rPr>
          <w:rFonts w:ascii="Arial" w:hAnsi="Arial" w:eastAsia="Arial"/>
        </w:rPr>
        <w:t>A business owner tells the product what the business sells, who the ideal customer is, what the brand sounds like, and what result is needed. The product proposes a campaign, creates the required content, asks for approval, publishes it, follows up with interested people, books qualified appointments, records sales outcomes, and improves the next campaign.</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224"/>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Step</w:t>
            </w:r>
          </w:p>
        </w:tc>
        <w:tc>
          <w:tcPr>
            <w:tcW w:type="dxa" w:w="5256"/>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System responsibility</w:t>
            </w:r>
          </w:p>
        </w:tc>
        <w:tc>
          <w:tcPr>
            <w:tcW w:type="dxa" w:w="324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Owner responsibility</w:t>
            </w:r>
          </w:p>
        </w:tc>
      </w:tr>
      <w:tr>
        <w:trPr>
          <w:cantSplit/>
        </w:trPr>
        <w:tc>
          <w:tcPr>
            <w:tcW w:type="dxa" w:w="122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1. Understand</w:t>
            </w:r>
          </w:p>
        </w:tc>
        <w:tc>
          <w:tcPr>
            <w:tcW w:type="dxa" w:w="525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Build a verified Business Brain from the website, files, offers, pricing, audience, FAQs, and previous results.</w:t>
            </w:r>
          </w:p>
        </w:tc>
        <w:tc>
          <w:tcPr>
            <w:tcW w:type="dxa" w:w="324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Correct missing or inaccurate facts.</w:t>
            </w:r>
          </w:p>
        </w:tc>
      </w:tr>
      <w:tr>
        <w:trPr>
          <w:cantSplit/>
        </w:trPr>
        <w:tc>
          <w:tcPr>
            <w:tcW w:type="dxa" w:w="122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2. Plan</w:t>
            </w:r>
          </w:p>
        </w:tc>
        <w:tc>
          <w:tcPr>
            <w:tcW w:type="dxa" w:w="525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Recommend campaign goal, offer, audience, message, channels, budget, funnel, and success metrics.</w:t>
            </w:r>
          </w:p>
        </w:tc>
        <w:tc>
          <w:tcPr>
            <w:tcW w:type="dxa" w:w="324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Approve or modify the strategy.</w:t>
            </w:r>
          </w:p>
        </w:tc>
      </w:tr>
      <w:tr>
        <w:trPr>
          <w:cantSplit/>
        </w:trPr>
        <w:tc>
          <w:tcPr>
            <w:tcW w:type="dxa" w:w="122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3. Create</w:t>
            </w:r>
          </w:p>
        </w:tc>
        <w:tc>
          <w:tcPr>
            <w:tcW w:type="dxa" w:w="525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Generate coordinated posts, ads, landing pages, messages, images, carousels, and video scripts.</w:t>
            </w:r>
          </w:p>
        </w:tc>
        <w:tc>
          <w:tcPr>
            <w:tcW w:type="dxa" w:w="324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Approve sensitive claims and final versions.</w:t>
            </w:r>
          </w:p>
        </w:tc>
      </w:tr>
      <w:tr>
        <w:trPr>
          <w:cantSplit/>
        </w:trPr>
        <w:tc>
          <w:tcPr>
            <w:tcW w:type="dxa" w:w="122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4. Execute</w:t>
            </w:r>
          </w:p>
        </w:tc>
        <w:tc>
          <w:tcPr>
            <w:tcW w:type="dxa" w:w="525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Schedule and publish approved assets; capture leads with source context.</w:t>
            </w:r>
          </w:p>
        </w:tc>
        <w:tc>
          <w:tcPr>
            <w:tcW w:type="dxa" w:w="324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Stay within agreed budget and operating rules.</w:t>
            </w:r>
          </w:p>
        </w:tc>
      </w:tr>
      <w:tr>
        <w:trPr>
          <w:cantSplit/>
        </w:trPr>
        <w:tc>
          <w:tcPr>
            <w:tcW w:type="dxa" w:w="122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5. Convert</w:t>
            </w:r>
          </w:p>
        </w:tc>
        <w:tc>
          <w:tcPr>
            <w:tcW w:type="dxa" w:w="525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Respond, answer questions, qualify, follow up, book, and hand off when needed.</w:t>
            </w:r>
          </w:p>
        </w:tc>
        <w:tc>
          <w:tcPr>
            <w:tcW w:type="dxa" w:w="324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Take over high-value, sensitive, or complex conversations.</w:t>
            </w:r>
          </w:p>
        </w:tc>
      </w:tr>
      <w:tr>
        <w:trPr>
          <w:cantSplit/>
        </w:trPr>
        <w:tc>
          <w:tcPr>
            <w:tcW w:type="dxa" w:w="122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6. Learn</w:t>
            </w:r>
          </w:p>
        </w:tc>
        <w:tc>
          <w:tcPr>
            <w:tcW w:type="dxa" w:w="525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Connect campaign, lead, appointment, and sale data; recommend the next experiment.</w:t>
            </w:r>
          </w:p>
        </w:tc>
        <w:tc>
          <w:tcPr>
            <w:tcW w:type="dxa" w:w="324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Approve material strategy or budget changes.</w:t>
            </w:r>
          </w:p>
        </w:tc>
      </w:tr>
    </w:tbl>
    <w:p>
      <w:pPr>
        <w:spacing w:after="20"/>
        <w:widowControl w:val="1"/>
      </w:pPr>
    </w:p>
    <w:p>
      <w:pPr>
        <w:pStyle w:val="Heading2"/>
        <w:keepNext/>
        <w:spacing w:before="160" w:after="80"/>
        <w:widowControl w:val="1"/>
      </w:pPr>
      <w:r>
        <w:rPr>
          <w:rFonts w:ascii="Arial" w:hAnsi="Arial" w:eastAsia="Arial"/>
          <w:b/>
          <w:color w:val="0F766E"/>
          <w:sz w:val="26"/>
        </w:rPr>
        <w:t>Positioning statement</w:t>
      </w:r>
    </w:p>
    <w:tbl>
      <w:tblPr>
        <w:tblW w:type="auto" w:w="0"/>
        <w:jc w:val="center"/>
        <w:tblLayout w:type="fixed"/>
        <w:tblLook w:firstColumn="1" w:firstRow="1" w:lastColumn="0" w:lastRow="0" w:noHBand="0" w:noVBand="1" w:val="04A0"/>
      </w:tblPr>
      <w:tblGrid>
        <w:gridCol w:w="9835"/>
      </w:tblGrid>
      <w:tr>
        <w:trPr>
          <w:cantSplit/>
        </w:trPr>
        <w:tc>
          <w:tcPr>
            <w:tcW w:type="dxa" w:w="9720"/>
            <w:shd w:fill="DCFCE7"/>
            <w:tcMar>
              <w:top w:w="120" w:type="dxa"/>
              <w:start w:w="150" w:type="dxa"/>
              <w:bottom w:w="120" w:type="dxa"/>
              <w:end w:w="150" w:type="dxa"/>
            </w:tcMar>
            <w:tcBorders>
              <w:top w:val="nil"/>
              <w:start w:val="single" w:sz="18" w:color="166534"/>
              <w:bottom w:val="nil"/>
              <w:end w:val="nil"/>
            </w:tcBorders>
          </w:tcPr>
          <w:p>
            <w:pPr>
              <w:spacing w:after="60"/>
            </w:pPr>
            <w:r>
              <w:rPr>
                <w:rFonts w:ascii="Arial" w:hAnsi="Arial" w:eastAsia="Arial"/>
                <w:b/>
                <w:color w:val="166534"/>
                <w:sz w:val="21"/>
              </w:rPr>
              <w:t>Recommended category</w:t>
            </w:r>
          </w:p>
          <w:p>
            <w:pPr>
              <w:spacing w:after="0"/>
            </w:pPr>
            <w:r>
              <w:rPr>
                <w:rFonts w:ascii="Arial" w:hAnsi="Arial" w:eastAsia="Arial"/>
                <w:color w:val="0F172A"/>
                <w:sz w:val="19"/>
              </w:rPr>
              <w:t>An AI growth agency for a focused vertical: from campaign idea to qualified, attended outcome in one system.</w:t>
            </w:r>
          </w:p>
        </w:tc>
      </w:tr>
    </w:tbl>
    <w:p>
      <w:pPr>
        <w:spacing w:after="20"/>
        <w:widowControl w:val="1"/>
      </w:pPr>
    </w:p>
    <w:p>
      <w:pPr>
        <w:pStyle w:val="Heading2"/>
        <w:keepNext/>
        <w:spacing w:before="160" w:after="80"/>
        <w:widowControl w:val="1"/>
      </w:pPr>
      <w:r>
        <w:rPr>
          <w:rFonts w:ascii="Arial" w:hAnsi="Arial" w:eastAsia="Arial"/>
          <w:b/>
          <w:color w:val="0F766E"/>
          <w:sz w:val="26"/>
        </w:rPr>
        <w:t>North-star outcome</w:t>
      </w:r>
    </w:p>
    <w:p>
      <w:pPr>
        <w:keepNext w:val="0"/>
        <w:spacing w:after="100" w:before="0"/>
        <w:widowControl w:val="1"/>
      </w:pPr>
      <w:r>
        <w:rPr>
          <w:rFonts w:ascii="Arial" w:hAnsi="Arial" w:eastAsia="Arial"/>
        </w:rPr>
        <w:t>The primary product metric should be qualified attended outcomes per active business per month. Depending on the vertical, an outcome may be an attended trial class, consultation, demo, inspection, assessment, or confirmed appointment. Reach and engagement are diagnostic metrics, not the final promise.</w:t>
      </w:r>
    </w:p>
    <w:p>
      <w:pPr>
        <w:pStyle w:val="Heading2"/>
        <w:keepNext/>
        <w:spacing w:before="160" w:after="80"/>
        <w:widowControl w:val="1"/>
      </w:pPr>
      <w:r>
        <w:rPr>
          <w:rFonts w:ascii="Arial" w:hAnsi="Arial" w:eastAsia="Arial"/>
          <w:b/>
          <w:color w:val="0F766E"/>
          <w:sz w:val="26"/>
        </w:rPr>
        <w:t>Initial strategic assumptions</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Decision area</w:t>
            </w:r>
          </w:p>
        </w:tc>
        <w:tc>
          <w:tcPr>
            <w:tcW w:type="dxa" w:w="432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Working assumption</w:t>
            </w:r>
          </w:p>
        </w:tc>
        <w:tc>
          <w:tcPr>
            <w:tcW w:type="dxa" w:w="360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Why</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Customer</w:t>
            </w:r>
          </w:p>
        </w:tc>
        <w:tc>
          <w:tcPr>
            <w:tcW w:type="dxa" w:w="432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Owner-operated appointment-based service business</w:t>
            </w:r>
          </w:p>
        </w:tc>
        <w:tc>
          <w:tcPr>
            <w:tcW w:type="dxa" w:w="36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Clear funnel, frequent missed follow-up, measurable bookings, and manageable sales cycles.</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Vertical</w:t>
            </w:r>
          </w:p>
        </w:tc>
        <w:tc>
          <w:tcPr>
            <w:tcW w:type="dxa" w:w="432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Begin with one niche such as yoga/fitness/wellness studios or coaching/training businesses in India</w:t>
            </w:r>
          </w:p>
        </w:tc>
        <w:tc>
          <w:tcPr>
            <w:tcW w:type="dxa" w:w="36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Direct access and domain familiarity are more valuable than generic breadth.</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Primary channel set</w:t>
            </w:r>
          </w:p>
        </w:tc>
        <w:tc>
          <w:tcPr>
            <w:tcW w:type="dxa" w:w="432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Instagram, Facebook, WhatsApp, landing page, and email</w:t>
            </w:r>
          </w:p>
        </w:tc>
        <w:tc>
          <w:tcPr>
            <w:tcW w:type="dxa" w:w="36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These support discovery, conversation, and booking in one practical funnel.</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Conversion</w:t>
            </w:r>
          </w:p>
        </w:tc>
        <w:tc>
          <w:tcPr>
            <w:tcW w:type="dxa" w:w="432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Qualified attended booking before final sale</w:t>
            </w:r>
          </w:p>
        </w:tc>
        <w:tc>
          <w:tcPr>
            <w:tcW w:type="dxa" w:w="36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It is measurable and less dependent on the owner than revenue alone.</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CRM boundary</w:t>
            </w:r>
          </w:p>
        </w:tc>
        <w:tc>
          <w:tcPr>
            <w:tcW w:type="dxa" w:w="432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Simple native lead pipeline plus integrations</w:t>
            </w:r>
          </w:p>
        </w:tc>
        <w:tc>
          <w:tcPr>
            <w:tcW w:type="dxa" w:w="36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Enough for small businesses without rebuilding HubSpot or HighLevel.</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Autonomy</w:t>
            </w:r>
          </w:p>
        </w:tc>
        <w:tc>
          <w:tcPr>
            <w:tcW w:type="dxa" w:w="432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Assisted first, supervised later, bounded autonomy last</w:t>
            </w:r>
          </w:p>
        </w:tc>
        <w:tc>
          <w:tcPr>
            <w:tcW w:type="dxa" w:w="36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Trust must be earned through correct, auditable work.</w:t>
            </w:r>
          </w:p>
        </w:tc>
      </w:tr>
    </w:tbl>
    <w:p>
      <w:pPr>
        <w:spacing w:after="20"/>
        <w:widowControl w:val="1"/>
      </w:pPr>
    </w:p>
    <w:p>
      <w:pPr>
        <w:pStyle w:val="Heading2"/>
        <w:keepNext/>
        <w:spacing w:before="160" w:after="80"/>
        <w:widowControl w:val="1"/>
      </w:pPr>
      <w:r>
        <w:rPr>
          <w:rFonts w:ascii="Arial" w:hAnsi="Arial" w:eastAsia="Arial"/>
          <w:b/>
          <w:color w:val="0F766E"/>
          <w:sz w:val="26"/>
        </w:rPr>
        <w:t>What success looks like for the owner</w:t>
      </w:r>
    </w:p>
    <w:tbl>
      <w:tblPr>
        <w:tblW w:type="auto" w:w="0"/>
        <w:jc w:val="center"/>
        <w:tblLayout w:type="fixed"/>
        <w:tblLook w:firstColumn="1" w:firstRow="1" w:lastColumn="0" w:lastRow="0" w:noHBand="0" w:noVBand="1" w:val="04A0"/>
      </w:tblPr>
      <w:tblGrid>
        <w:gridCol w:w="9835"/>
      </w:tblGrid>
      <w:tr>
        <w:trPr>
          <w:cantSplit/>
        </w:trPr>
        <w:tc>
          <w:tcPr>
            <w:tcW w:type="dxa" w:w="9720"/>
            <w:shd w:fill="EDE9FE"/>
            <w:tcMar>
              <w:top w:w="120" w:type="dxa"/>
              <w:start w:w="150" w:type="dxa"/>
              <w:bottom w:w="120" w:type="dxa"/>
              <w:end w:w="150" w:type="dxa"/>
            </w:tcMar>
            <w:tcBorders>
              <w:top w:val="nil"/>
              <w:start w:val="single" w:sz="18" w:color="6D28D9"/>
              <w:bottom w:val="nil"/>
              <w:end w:val="nil"/>
            </w:tcBorders>
          </w:tcPr>
          <w:p>
            <w:pPr>
              <w:spacing w:after="60"/>
            </w:pPr>
            <w:r>
              <w:rPr>
                <w:rFonts w:ascii="Arial" w:hAnsi="Arial" w:eastAsia="Arial"/>
                <w:b/>
                <w:color w:val="6D28D9"/>
                <w:sz w:val="21"/>
              </w:rPr>
              <w:t>Weekly owner summary</w:t>
            </w:r>
          </w:p>
          <w:p>
            <w:pPr>
              <w:spacing w:after="0"/>
            </w:pPr>
            <w:r>
              <w:rPr>
                <w:rFonts w:ascii="Arial" w:hAnsi="Arial" w:eastAsia="Arial"/>
                <w:color w:val="0F172A"/>
                <w:sz w:val="19"/>
              </w:rPr>
              <w:t>“This week: 18 assets published, 34 leads captured, 22 qualified, 13 booked, 9 attended, and 3 became customers. Beginner-focused education produced the best booking rate. Approval is needed for next week’s offer and a ₹5,000 budget increase.”</w:t>
            </w:r>
          </w:p>
        </w:tc>
      </w:tr>
    </w:tbl>
    <w:p>
      <w:pPr>
        <w:spacing w:after="20"/>
        <w:widowControl w:val="1"/>
      </w:pPr>
    </w:p>
    <w:p>
      <w:pPr>
        <w:keepNext/>
        <w:spacing w:before="0" w:after="100"/>
        <w:widowControl w:val="1"/>
      </w:pPr>
      <w:r>
        <w:rPr>
          <w:rFonts w:ascii="Arial" w:hAnsi="Arial" w:eastAsia="Arial"/>
          <w:b/>
          <w:color w:val="0F172A"/>
          <w:sz w:val="38"/>
        </w:rPr>
        <w:t>2  Market landscape and competitor reality</w:t>
      </w:r>
    </w:p>
    <w:p>
      <w:pPr>
        <w:keepNext/>
        <w:spacing w:after="160"/>
        <w:widowControl w:val="1"/>
      </w:pPr>
      <w:r>
        <w:rPr>
          <w:rFonts w:ascii="Arial" w:hAnsi="Arial" w:eastAsia="Arial"/>
          <w:color w:val="0F766E"/>
          <w:sz w:val="14"/>
        </w:rPr>
        <w:t>━━━━━━━━━━━━━━━━━━━━━━━━━━━━━━━━━━━━━━━━</w:t>
      </w:r>
    </w:p>
    <w:p>
      <w:pPr>
        <w:keepNext/>
        <w:spacing w:after="160"/>
        <w:widowControl w:val="1"/>
      </w:pPr>
      <w:r>
        <w:rPr>
          <w:rFonts w:ascii="Arial" w:hAnsi="Arial" w:eastAsia="Arial"/>
          <w:i/>
          <w:color w:val="64748B"/>
          <w:sz w:val="20"/>
        </w:rPr>
        <w:t>The market is crowded. The strategy must avoid a head-on feature war with mature platforms.</w:t>
      </w:r>
    </w:p>
    <w:p>
      <w:pPr>
        <w:pStyle w:val="Heading2"/>
        <w:keepNext/>
        <w:spacing w:before="160" w:after="80"/>
        <w:widowControl w:val="1"/>
      </w:pPr>
      <w:r>
        <w:rPr>
          <w:rFonts w:ascii="Arial" w:hAnsi="Arial" w:eastAsia="Arial"/>
          <w:b/>
          <w:color w:val="0F766E"/>
          <w:sz w:val="26"/>
        </w:rPr>
        <w:t>Competitor map</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1512"/>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Product</w:t>
            </w:r>
          </w:p>
        </w:tc>
        <w:tc>
          <w:tcPr>
            <w:tcW w:type="dxa" w:w="2664"/>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Where it is strong</w:t>
            </w:r>
          </w:p>
        </w:tc>
        <w:tc>
          <w:tcPr>
            <w:tcW w:type="dxa" w:w="2736"/>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What it already proves</w:t>
            </w:r>
          </w:p>
        </w:tc>
        <w:tc>
          <w:tcPr>
            <w:tcW w:type="dxa" w:w="2808"/>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Strategic opening for us</w:t>
            </w:r>
          </w:p>
        </w:tc>
      </w:tr>
      <w:tr>
        <w:trPr>
          <w:cantSplit/>
        </w:trPr>
        <w:tc>
          <w:tcPr>
            <w:tcW w:type="dxa" w:w="151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Ocoya</w:t>
            </w:r>
          </w:p>
        </w:tc>
        <w:tc>
          <w:tcPr>
            <w:tcW w:type="dxa" w:w="266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AI social content, scheduling, approvals, collaboration, and social analytics</w:t>
            </w:r>
          </w:p>
        </w:tc>
        <w:tc>
          <w:tcPr>
            <w:tcW w:type="dxa" w:w="273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Small businesses and agencies want one place to create, approve, and schedule content.</w:t>
            </w:r>
          </w:p>
        </w:tc>
        <w:tc>
          <w:tcPr>
            <w:tcW w:type="dxa" w:w="280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Do not compete only on content and calendar. Continue into lead conversion and revenue learning.</w:t>
            </w:r>
          </w:p>
        </w:tc>
      </w:tr>
      <w:tr>
        <w:trPr>
          <w:cantSplit/>
        </w:trPr>
        <w:tc>
          <w:tcPr>
            <w:tcW w:type="dxa" w:w="151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HighLevel</w:t>
            </w:r>
          </w:p>
        </w:tc>
        <w:tc>
          <w:tcPr>
            <w:tcW w:type="dxa" w:w="266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CRM, funnels, messaging, automations, calendars, ads, AI conversations, booking, and reactivation</w:t>
            </w:r>
          </w:p>
        </w:tc>
        <w:tc>
          <w:tcPr>
            <w:tcW w:type="dxa" w:w="273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A broad campaign-to-customer platform is possible and valuable.</w:t>
            </w:r>
          </w:p>
        </w:tc>
        <w:tc>
          <w:tcPr>
            <w:tcW w:type="dxa" w:w="280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Win through much simpler vertical workflows, faster setup, better recommendations, and less configuration.</w:t>
            </w:r>
          </w:p>
        </w:tc>
      </w:tr>
      <w:tr>
        <w:trPr>
          <w:cantSplit/>
        </w:trPr>
        <w:tc>
          <w:tcPr>
            <w:tcW w:type="dxa" w:w="151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HubSpot Breeze</w:t>
            </w:r>
          </w:p>
        </w:tc>
        <w:tc>
          <w:tcPr>
            <w:tcW w:type="dxa" w:w="266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CRM context, content, lead capture, qualification, scoring, booking, handoff, sales, and service</w:t>
            </w:r>
          </w:p>
        </w:tc>
        <w:tc>
          <w:tcPr>
            <w:tcW w:type="dxa" w:w="273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AI can span the full go-to-market workflow when connected to customer data.</w:t>
            </w:r>
          </w:p>
        </w:tc>
        <w:tc>
          <w:tcPr>
            <w:tcW w:type="dxa" w:w="280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Serve customers who find a full CRM suite excessive; focus on a specific outcome and vertical.</w:t>
            </w:r>
          </w:p>
        </w:tc>
      </w:tr>
      <w:tr>
        <w:trPr>
          <w:cantSplit/>
        </w:trPr>
        <w:tc>
          <w:tcPr>
            <w:tcW w:type="dxa" w:w="151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Jasper</w:t>
            </w:r>
          </w:p>
        </w:tc>
        <w:tc>
          <w:tcPr>
            <w:tcW w:type="dxa" w:w="266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Brand knowledge, campaign briefs, content workflows, enterprise governance</w:t>
            </w:r>
          </w:p>
        </w:tc>
        <w:tc>
          <w:tcPr>
            <w:tcW w:type="dxa" w:w="273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Brand-controlled AI content is a serious product category.</w:t>
            </w:r>
          </w:p>
        </w:tc>
        <w:tc>
          <w:tcPr>
            <w:tcW w:type="dxa" w:w="280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Connect brand content to lead conversations, appointments, and revenue rather than stopping at deliverables.</w:t>
            </w:r>
          </w:p>
        </w:tc>
      </w:tr>
      <w:tr>
        <w:trPr>
          <w:cantSplit/>
        </w:trPr>
        <w:tc>
          <w:tcPr>
            <w:tcW w:type="dxa" w:w="151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Canva / social suites</w:t>
            </w:r>
          </w:p>
        </w:tc>
        <w:tc>
          <w:tcPr>
            <w:tcW w:type="dxa" w:w="266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Design, templates, creative production, publishing, listening, and team workflows</w:t>
            </w:r>
          </w:p>
        </w:tc>
        <w:tc>
          <w:tcPr>
            <w:tcW w:type="dxa" w:w="273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Creative polish and usability are baseline expectations.</w:t>
            </w:r>
          </w:p>
        </w:tc>
        <w:tc>
          <w:tcPr>
            <w:tcW w:type="dxa" w:w="280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Integrate for production where sensible; do not build a full design platform.</w:t>
            </w:r>
          </w:p>
        </w:tc>
      </w:tr>
    </w:tbl>
    <w:p>
      <w:pPr>
        <w:spacing w:after="20"/>
        <w:widowControl w:val="1"/>
      </w:pPr>
    </w:p>
    <w:p>
      <w:pPr>
        <w:pStyle w:val="Heading2"/>
        <w:keepNext/>
        <w:spacing w:before="160" w:after="80"/>
        <w:widowControl w:val="1"/>
      </w:pPr>
      <w:r>
        <w:rPr>
          <w:rFonts w:ascii="Arial" w:hAnsi="Arial" w:eastAsia="Arial"/>
          <w:b/>
          <w:color w:val="0F766E"/>
          <w:sz w:val="26"/>
        </w:rPr>
        <w:t>Honest conclusion</w:t>
      </w:r>
    </w:p>
    <w:p>
      <w:pPr>
        <w:keepNext w:val="0"/>
        <w:spacing w:after="100" w:before="0"/>
        <w:widowControl w:val="1"/>
      </w:pPr>
      <w:r>
        <w:rPr>
          <w:rFonts w:ascii="Arial" w:hAnsi="Arial" w:eastAsia="Arial"/>
        </w:rPr>
        <w:t>Ocoya is a strong benchmark for the content creation, approval, calendar, and publishing layer. HighLevel and HubSpot are the more serious strategic threats once the product includes lead qualification, booking, follow-up, and CRM-style workflows. We should not claim to be “better” in general. We should be materially better for one narrow customer and one measurable job.</w:t>
      </w:r>
    </w:p>
    <w:tbl>
      <w:tblPr>
        <w:tblW w:type="auto" w:w="0"/>
        <w:jc w:val="center"/>
        <w:tblLayout w:type="fixed"/>
        <w:tblLook w:firstColumn="1" w:firstRow="1" w:lastColumn="0" w:lastRow="0" w:noHBand="0" w:noVBand="1" w:val="04A0"/>
      </w:tblPr>
      <w:tblGrid>
        <w:gridCol w:w="9835"/>
      </w:tblGrid>
      <w:tr>
        <w:trPr>
          <w:cantSplit/>
        </w:trPr>
        <w:tc>
          <w:tcPr>
            <w:tcW w:type="dxa" w:w="9720"/>
            <w:shd w:fill="FEE2E2"/>
            <w:tcMar>
              <w:top w:w="120" w:type="dxa"/>
              <w:start w:w="150" w:type="dxa"/>
              <w:bottom w:w="120" w:type="dxa"/>
              <w:end w:w="150" w:type="dxa"/>
            </w:tcMar>
            <w:tcBorders>
              <w:top w:val="nil"/>
              <w:start w:val="single" w:sz="18" w:color="B91C1C"/>
              <w:bottom w:val="nil"/>
              <w:end w:val="nil"/>
            </w:tcBorders>
          </w:tcPr>
          <w:p>
            <w:pPr>
              <w:spacing w:after="60"/>
            </w:pPr>
            <w:r>
              <w:rPr>
                <w:rFonts w:ascii="Arial" w:hAnsi="Arial" w:eastAsia="Arial"/>
                <w:b/>
                <w:color w:val="B91C1C"/>
                <w:sz w:val="21"/>
              </w:rPr>
              <w:t>The replacement test</w:t>
            </w:r>
          </w:p>
          <w:p>
            <w:pPr>
              <w:spacing w:after="0"/>
            </w:pPr>
            <w:r>
              <w:rPr>
                <w:rFonts w:ascii="Arial" w:hAnsi="Arial" w:eastAsia="Arial"/>
                <w:color w:val="0F172A"/>
                <w:sz w:val="19"/>
              </w:rPr>
              <w:t>If a customer can replace the product with Ocoya plus a spreadsheet, the product is not differentiated enough. The system must understand the campaign, manage the lead conversation, book the outcome, record what happened, and use the result to improve future campaigns.</w:t>
            </w:r>
          </w:p>
        </w:tc>
      </w:tr>
    </w:tbl>
    <w:p>
      <w:pPr>
        <w:spacing w:after="20"/>
        <w:widowControl w:val="1"/>
      </w:pPr>
    </w:p>
    <w:p>
      <w:pPr>
        <w:pStyle w:val="Heading2"/>
        <w:keepNext/>
        <w:spacing w:before="160" w:after="80"/>
        <w:widowControl w:val="1"/>
      </w:pPr>
      <w:r>
        <w:rPr>
          <w:rFonts w:ascii="Arial" w:hAnsi="Arial" w:eastAsia="Arial"/>
          <w:b/>
          <w:color w:val="0F766E"/>
          <w:sz w:val="26"/>
        </w:rPr>
        <w:t>Where we should compete</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4680"/>
            <w:shd w:fill="0F766E"/>
            <w:tcMar>
              <w:top w:w="85" w:type="dxa"/>
              <w:start w:w="75" w:type="dxa"/>
              <w:bottom w:w="85" w:type="dxa"/>
              <w:end w:w="75" w:type="dxa"/>
            </w:tcMar>
            <w:tcBorders>
              <w:top w:val="single" w:sz="5" w:color="0F766E"/>
              <w:start w:val="single" w:sz="5" w:color="FFFFFF"/>
              <w:bottom w:val="single" w:sz="5" w:color="0F766E"/>
              <w:end w:val="single" w:sz="5" w:color="FFFFFF"/>
            </w:tcBorders>
            <w:vAlign w:val="center"/>
          </w:tcPr>
          <w:p>
            <w:pPr>
              <w:jc w:val="left"/>
            </w:pPr>
            <w:r>
              <w:rPr>
                <w:rFonts w:ascii="Arial" w:hAnsi="Arial" w:eastAsia="Arial"/>
                <w:b/>
                <w:color w:val="FFFFFF"/>
                <w:sz w:val="17"/>
              </w:rPr>
              <w:t>Do not fight on</w:t>
            </w:r>
          </w:p>
        </w:tc>
        <w:tc>
          <w:tcPr>
            <w:tcW w:type="dxa" w:w="5040"/>
            <w:shd w:fill="0F766E"/>
            <w:tcMar>
              <w:top w:w="85" w:type="dxa"/>
              <w:start w:w="75" w:type="dxa"/>
              <w:bottom w:w="85" w:type="dxa"/>
              <w:end w:w="75" w:type="dxa"/>
            </w:tcMar>
            <w:tcBorders>
              <w:top w:val="single" w:sz="5" w:color="0F766E"/>
              <w:start w:val="single" w:sz="5" w:color="FFFFFF"/>
              <w:bottom w:val="single" w:sz="5" w:color="0F766E"/>
              <w:end w:val="single" w:sz="5" w:color="FFFFFF"/>
            </w:tcBorders>
            <w:vAlign w:val="center"/>
          </w:tcPr>
          <w:p>
            <w:pPr>
              <w:jc w:val="left"/>
            </w:pPr>
            <w:r>
              <w:rPr>
                <w:rFonts w:ascii="Arial" w:hAnsi="Arial" w:eastAsia="Arial"/>
                <w:b/>
                <w:color w:val="FFFFFF"/>
                <w:sz w:val="17"/>
              </w:rPr>
              <w:t>Compete on</w:t>
            </w:r>
          </w:p>
        </w:tc>
      </w:tr>
      <w:tr>
        <w:trPr>
          <w:cantSplit/>
        </w:trPr>
        <w:tc>
          <w:tcPr>
            <w:tcW w:type="dxa" w:w="468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Number of social networks</w:t>
            </w:r>
          </w:p>
        </w:tc>
        <w:tc>
          <w:tcPr>
            <w:tcW w:type="dxa" w:w="504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Depth of one vertical conversion workflow</w:t>
            </w:r>
          </w:p>
        </w:tc>
      </w:tr>
      <w:tr>
        <w:trPr>
          <w:cantSplit/>
        </w:trPr>
        <w:tc>
          <w:tcPr>
            <w:tcW w:type="dxa" w:w="468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Number of design templates</w:t>
            </w:r>
          </w:p>
        </w:tc>
        <w:tc>
          <w:tcPr>
            <w:tcW w:type="dxa" w:w="504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Quality of business context and campaign recommendations</w:t>
            </w:r>
          </w:p>
        </w:tc>
      </w:tr>
      <w:tr>
        <w:trPr>
          <w:cantSplit/>
        </w:trPr>
        <w:tc>
          <w:tcPr>
            <w:tcW w:type="dxa" w:w="468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Cheapest AI captions</w:t>
            </w:r>
          </w:p>
        </w:tc>
        <w:tc>
          <w:tcPr>
            <w:tcW w:type="dxa" w:w="504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Qualified bookings and customer outcomes</w:t>
            </w:r>
          </w:p>
        </w:tc>
      </w:tr>
      <w:tr>
        <w:trPr>
          <w:cantSplit/>
        </w:trPr>
        <w:tc>
          <w:tcPr>
            <w:tcW w:type="dxa" w:w="468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Generic automation builder</w:t>
            </w:r>
          </w:p>
        </w:tc>
        <w:tc>
          <w:tcPr>
            <w:tcW w:type="dxa" w:w="504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Ready-made playbooks that require little configuration</w:t>
            </w:r>
          </w:p>
        </w:tc>
      </w:tr>
      <w:tr>
        <w:trPr>
          <w:cantSplit/>
        </w:trPr>
        <w:tc>
          <w:tcPr>
            <w:tcW w:type="dxa" w:w="468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Perfect all-in-one CRM breadth</w:t>
            </w:r>
          </w:p>
        </w:tc>
        <w:tc>
          <w:tcPr>
            <w:tcW w:type="dxa" w:w="504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Campaign-native lead context and simple owner experience</w:t>
            </w:r>
          </w:p>
        </w:tc>
      </w:tr>
      <w:tr>
        <w:trPr>
          <w:cantSplit/>
        </w:trPr>
        <w:tc>
          <w:tcPr>
            <w:tcW w:type="dxa" w:w="468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Autonomous actions without controls</w:t>
            </w:r>
          </w:p>
        </w:tc>
        <w:tc>
          <w:tcPr>
            <w:tcW w:type="dxa" w:w="504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Approval, auditability, safe escalation, and reliable execution</w:t>
            </w:r>
          </w:p>
        </w:tc>
      </w:tr>
    </w:tbl>
    <w:p>
      <w:pPr>
        <w:spacing w:after="20"/>
        <w:widowControl w:val="1"/>
      </w:pPr>
    </w:p>
    <w:p>
      <w:pPr>
        <w:pStyle w:val="Heading2"/>
        <w:keepNext/>
        <w:spacing w:before="160" w:after="80"/>
        <w:widowControl w:val="1"/>
      </w:pPr>
      <w:r>
        <w:rPr>
          <w:rFonts w:ascii="Arial" w:hAnsi="Arial" w:eastAsia="Arial"/>
          <w:b/>
          <w:color w:val="0F766E"/>
          <w:sz w:val="26"/>
        </w:rPr>
        <w:t>Why a vertical wedge matters</w:t>
      </w:r>
    </w:p>
    <w:p>
      <w:pPr>
        <w:keepNext w:val="0"/>
        <w:spacing w:after="100" w:before="0"/>
        <w:widowControl w:val="1"/>
      </w:pPr>
      <w:r>
        <w:rPr>
          <w:rFonts w:ascii="Arial" w:hAnsi="Arial" w:eastAsia="Arial"/>
        </w:rPr>
        <w:t>A vertical product can know the typical offers, customer objections, qualification questions, booking flow, seasonality, terminology, compliance risks, and conversion benchmarks. A generic product asks the owner to configure these. A vertical agency arrives with a tested operating system.</w:t>
      </w:r>
    </w:p>
    <w:p>
      <w:pPr>
        <w:keepNext/>
        <w:spacing w:before="0" w:after="100"/>
        <w:widowControl w:val="1"/>
      </w:pPr>
      <w:r>
        <w:rPr>
          <w:rFonts w:ascii="Arial" w:hAnsi="Arial" w:eastAsia="Arial"/>
          <w:b/>
          <w:color w:val="0F172A"/>
          <w:sz w:val="38"/>
        </w:rPr>
        <w:t>3  Product strategy and product principles</w:t>
      </w:r>
    </w:p>
    <w:p>
      <w:pPr>
        <w:keepNext/>
        <w:spacing w:after="160"/>
        <w:widowControl w:val="1"/>
      </w:pPr>
      <w:r>
        <w:rPr>
          <w:rFonts w:ascii="Arial" w:hAnsi="Arial" w:eastAsia="Arial"/>
          <w:color w:val="0F766E"/>
          <w:sz w:val="14"/>
        </w:rPr>
        <w:t>━━━━━━━━━━━━━━━━━━━━━━━━━━━━━━━━━━━━━━━━</w:t>
      </w:r>
    </w:p>
    <w:p>
      <w:pPr>
        <w:keepNext/>
        <w:spacing w:after="160"/>
        <w:widowControl w:val="1"/>
      </w:pPr>
      <w:r>
        <w:rPr>
          <w:rFonts w:ascii="Arial" w:hAnsi="Arial" w:eastAsia="Arial"/>
          <w:i/>
          <w:color w:val="64748B"/>
          <w:sz w:val="20"/>
        </w:rPr>
        <w:t>The vision is broad; the first sellable loop must be deliberately narrow.</w:t>
      </w:r>
    </w:p>
    <w:p>
      <w:pPr>
        <w:pStyle w:val="Heading2"/>
        <w:keepNext/>
        <w:spacing w:before="160" w:after="80"/>
        <w:widowControl w:val="1"/>
      </w:pPr>
      <w:r>
        <w:rPr>
          <w:rFonts w:ascii="Arial" w:hAnsi="Arial" w:eastAsia="Arial"/>
          <w:b/>
          <w:color w:val="0F766E"/>
          <w:sz w:val="26"/>
        </w:rPr>
        <w:t>Recommended first product</w:t>
      </w:r>
    </w:p>
    <w:tbl>
      <w:tblPr>
        <w:tblW w:type="auto" w:w="0"/>
        <w:jc w:val="center"/>
        <w:tblLayout w:type="fixed"/>
        <w:tblLook w:firstColumn="1" w:firstRow="1" w:lastColumn="0" w:lastRow="0" w:noHBand="0" w:noVBand="1" w:val="04A0"/>
      </w:tblPr>
      <w:tblGrid>
        <w:gridCol w:w="9835"/>
      </w:tblGrid>
      <w:tr>
        <w:trPr>
          <w:cantSplit/>
        </w:trPr>
        <w:tc>
          <w:tcPr>
            <w:tcW w:type="dxa" w:w="9720"/>
            <w:shd w:fill="CCFBF1"/>
            <w:tcMar>
              <w:top w:w="120" w:type="dxa"/>
              <w:start w:w="150" w:type="dxa"/>
              <w:bottom w:w="120" w:type="dxa"/>
              <w:end w:w="150" w:type="dxa"/>
            </w:tcMar>
            <w:tcBorders>
              <w:top w:val="nil"/>
              <w:start w:val="single" w:sz="18" w:color="0F766E"/>
              <w:bottom w:val="nil"/>
              <w:end w:val="nil"/>
            </w:tcBorders>
          </w:tcPr>
          <w:p>
            <w:pPr>
              <w:spacing w:after="60"/>
            </w:pPr>
            <w:r>
              <w:rPr>
                <w:rFonts w:ascii="Arial" w:hAnsi="Arial" w:eastAsia="Arial"/>
                <w:b/>
                <w:color w:val="0F766E"/>
                <w:sz w:val="21"/>
              </w:rPr>
              <w:t>AI Campaign + Lead Concierge</w:t>
            </w:r>
          </w:p>
          <w:p>
            <w:pPr>
              <w:spacing w:after="0"/>
            </w:pPr>
            <w:r>
              <w:rPr>
                <w:rFonts w:ascii="Arial" w:hAnsi="Arial" w:eastAsia="Arial"/>
                <w:color w:val="0F172A"/>
                <w:sz w:val="19"/>
              </w:rPr>
              <w:t>Create one goal-based campaign, publish through a small channel set, capture every lead with campaign context, qualify and book the lead, and show which content produced attended outcomes.</w:t>
            </w:r>
          </w:p>
        </w:tc>
      </w:tr>
    </w:tbl>
    <w:p>
      <w:pPr>
        <w:spacing w:after="20"/>
        <w:widowControl w:val="1"/>
      </w:pPr>
    </w:p>
    <w:p>
      <w:pPr>
        <w:pStyle w:val="Heading2"/>
        <w:keepNext/>
        <w:spacing w:before="160" w:after="80"/>
        <w:widowControl w:val="1"/>
      </w:pPr>
      <w:r>
        <w:rPr>
          <w:rFonts w:ascii="Arial" w:hAnsi="Arial" w:eastAsia="Arial"/>
          <w:b/>
          <w:color w:val="0F766E"/>
          <w:sz w:val="26"/>
        </w:rPr>
        <w:t>Product principles</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2448"/>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Principle</w:t>
            </w:r>
          </w:p>
        </w:tc>
        <w:tc>
          <w:tcPr>
            <w:tcW w:type="dxa" w:w="7272"/>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Meaning in the product</w:t>
            </w:r>
          </w:p>
        </w:tc>
      </w:tr>
      <w:tr>
        <w:trPr>
          <w:cantSplit/>
        </w:trPr>
        <w:tc>
          <w:tcPr>
            <w:tcW w:type="dxa" w:w="244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Outcome first</w:t>
            </w:r>
          </w:p>
        </w:tc>
        <w:tc>
          <w:tcPr>
            <w:tcW w:type="dxa" w:w="727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Every campaign begins with a business goal and funnel metric, not a request for “more posts.”</w:t>
            </w:r>
          </w:p>
        </w:tc>
      </w:tr>
      <w:tr>
        <w:trPr>
          <w:cantSplit/>
        </w:trPr>
        <w:tc>
          <w:tcPr>
            <w:tcW w:type="dxa" w:w="244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Business truth before generation</w:t>
            </w:r>
          </w:p>
        </w:tc>
        <w:tc>
          <w:tcPr>
            <w:tcW w:type="dxa" w:w="727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Prices, claims, policies, offers, and FAQs must come from an owner-approved Business Brain.</w:t>
            </w:r>
          </w:p>
        </w:tc>
      </w:tr>
      <w:tr>
        <w:trPr>
          <w:cantSplit/>
        </w:trPr>
        <w:tc>
          <w:tcPr>
            <w:tcW w:type="dxa" w:w="244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AI proposes; systems enforce</w:t>
            </w:r>
          </w:p>
        </w:tc>
        <w:tc>
          <w:tcPr>
            <w:tcW w:type="dxa" w:w="727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AI can plan and create. Deterministic backend services control permissions, approvals, schedules, budgets, retries, and external actions.</w:t>
            </w:r>
          </w:p>
        </w:tc>
      </w:tr>
      <w:tr>
        <w:trPr>
          <w:cantSplit/>
        </w:trPr>
        <w:tc>
          <w:tcPr>
            <w:tcW w:type="dxa" w:w="244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Approval is version-specific</w:t>
            </w:r>
          </w:p>
        </w:tc>
        <w:tc>
          <w:tcPr>
            <w:tcW w:type="dxa" w:w="727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Editing an approved price, claim, offer, asset, audience, or budget creates a new version that may require re-approval.</w:t>
            </w:r>
          </w:p>
        </w:tc>
      </w:tr>
      <w:tr>
        <w:trPr>
          <w:cantSplit/>
        </w:trPr>
        <w:tc>
          <w:tcPr>
            <w:tcW w:type="dxa" w:w="244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Campaign context follows the lead</w:t>
            </w:r>
          </w:p>
        </w:tc>
        <w:tc>
          <w:tcPr>
            <w:tcW w:type="dxa" w:w="727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The lead record keeps the exact campaign, creative, offer, form answers, and conversation history.</w:t>
            </w:r>
          </w:p>
        </w:tc>
      </w:tr>
      <w:tr>
        <w:trPr>
          <w:cantSplit/>
        </w:trPr>
        <w:tc>
          <w:tcPr>
            <w:tcW w:type="dxa" w:w="244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Learn from downstream outcomes</w:t>
            </w:r>
          </w:p>
        </w:tc>
        <w:tc>
          <w:tcPr>
            <w:tcW w:type="dxa" w:w="727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Optimize toward qualified, attended, and won outcomes—not only clicks, likes, or raw leads.</w:t>
            </w:r>
          </w:p>
        </w:tc>
      </w:tr>
      <w:tr>
        <w:trPr>
          <w:cantSplit/>
        </w:trPr>
        <w:tc>
          <w:tcPr>
            <w:tcW w:type="dxa" w:w="244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Explain every recommendation</w:t>
            </w:r>
          </w:p>
        </w:tc>
        <w:tc>
          <w:tcPr>
            <w:tcW w:type="dxa" w:w="727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Show evidence, sample size, confidence, expected impact, and the proposed experiment.</w:t>
            </w:r>
          </w:p>
        </w:tc>
      </w:tr>
      <w:tr>
        <w:trPr>
          <w:cantSplit/>
        </w:trPr>
        <w:tc>
          <w:tcPr>
            <w:tcW w:type="dxa" w:w="244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One reliable loop beats broad demos</w:t>
            </w:r>
          </w:p>
        </w:tc>
        <w:tc>
          <w:tcPr>
            <w:tcW w:type="dxa" w:w="727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Two reliable channels and one conversion flow are better than ten partially working integrations.</w:t>
            </w:r>
          </w:p>
        </w:tc>
      </w:tr>
    </w:tbl>
    <w:p>
      <w:pPr>
        <w:spacing w:after="20"/>
        <w:widowControl w:val="1"/>
      </w:pPr>
    </w:p>
    <w:p>
      <w:pPr>
        <w:pStyle w:val="Heading2"/>
        <w:keepNext/>
        <w:spacing w:before="160" w:after="80"/>
        <w:widowControl w:val="1"/>
      </w:pPr>
      <w:r>
        <w:rPr>
          <w:rFonts w:ascii="Arial" w:hAnsi="Arial" w:eastAsia="Arial"/>
          <w:b/>
          <w:color w:val="0F766E"/>
          <w:sz w:val="26"/>
        </w:rPr>
        <w:t>Explicit non-goals for the first release</w:t>
      </w:r>
    </w:p>
    <w:p>
      <w:pPr>
        <w:pStyle w:val="ListBullet"/>
        <w:spacing w:after="50"/>
        <w:ind w:left="288" w:hanging="173"/>
        <w:widowControl w:val="1"/>
      </w:pPr>
      <w:r>
        <w:rPr>
          <w:rFonts w:ascii="Arial" w:hAnsi="Arial" w:eastAsia="Arial"/>
          <w:color w:val="0F172A"/>
          <w:sz w:val="20"/>
        </w:rPr>
        <w:t>A full Canva replacement or complex free-form design editor.</w:t>
      </w:r>
    </w:p>
    <w:p>
      <w:pPr>
        <w:pStyle w:val="ListBullet"/>
        <w:spacing w:after="50"/>
        <w:ind w:left="288" w:hanging="173"/>
        <w:widowControl w:val="1"/>
      </w:pPr>
      <w:r>
        <w:rPr>
          <w:rFonts w:ascii="Arial" w:hAnsi="Arial" w:eastAsia="Arial"/>
          <w:color w:val="0F172A"/>
          <w:sz w:val="20"/>
        </w:rPr>
        <w:t>A complete general-purpose CRM with forecasting, invoicing, territories, custom objects, and enterprise sales administration.</w:t>
      </w:r>
    </w:p>
    <w:p>
      <w:pPr>
        <w:pStyle w:val="ListBullet"/>
        <w:spacing w:after="50"/>
        <w:ind w:left="288" w:hanging="173"/>
        <w:widowControl w:val="1"/>
      </w:pPr>
      <w:r>
        <w:rPr>
          <w:rFonts w:ascii="Arial" w:hAnsi="Arial" w:eastAsia="Arial"/>
          <w:color w:val="0F172A"/>
          <w:sz w:val="20"/>
        </w:rPr>
        <w:t>Support for every social network.</w:t>
      </w:r>
    </w:p>
    <w:p>
      <w:pPr>
        <w:pStyle w:val="ListBullet"/>
        <w:spacing w:after="50"/>
        <w:ind w:left="288" w:hanging="173"/>
        <w:widowControl w:val="1"/>
      </w:pPr>
      <w:r>
        <w:rPr>
          <w:rFonts w:ascii="Arial" w:hAnsi="Arial" w:eastAsia="Arial"/>
          <w:color w:val="0F172A"/>
          <w:sz w:val="20"/>
        </w:rPr>
        <w:t>Fully autonomous advertising budget changes.</w:t>
      </w:r>
    </w:p>
    <w:p>
      <w:pPr>
        <w:pStyle w:val="ListBullet"/>
        <w:spacing w:after="50"/>
        <w:ind w:left="288" w:hanging="173"/>
        <w:widowControl w:val="1"/>
      </w:pPr>
      <w:r>
        <w:rPr>
          <w:rFonts w:ascii="Arial" w:hAnsi="Arial" w:eastAsia="Arial"/>
          <w:color w:val="0F172A"/>
          <w:sz w:val="20"/>
        </w:rPr>
        <w:t>A proprietary foundation model, image model, or video model.</w:t>
      </w:r>
    </w:p>
    <w:p>
      <w:pPr>
        <w:pStyle w:val="ListBullet"/>
        <w:spacing w:after="50"/>
        <w:ind w:left="288" w:hanging="173"/>
        <w:widowControl w:val="1"/>
      </w:pPr>
      <w:r>
        <w:rPr>
          <w:rFonts w:ascii="Arial" w:hAnsi="Arial" w:eastAsia="Arial"/>
          <w:color w:val="0F172A"/>
          <w:sz w:val="20"/>
        </w:rPr>
        <w:t>Perfect multi-touch attribution or certainty from tiny datasets.</w:t>
      </w:r>
    </w:p>
    <w:p>
      <w:pPr>
        <w:pStyle w:val="ListBullet"/>
        <w:spacing w:after="50"/>
        <w:ind w:left="288" w:hanging="173"/>
        <w:widowControl w:val="1"/>
      </w:pPr>
      <w:r>
        <w:rPr>
          <w:rFonts w:ascii="Arial" w:hAnsi="Arial" w:eastAsia="Arial"/>
          <w:color w:val="0F172A"/>
          <w:sz w:val="20"/>
        </w:rPr>
        <w:t>Voice calling, ecommerce catalogue management, or customer support ticketing unless required by the chosen vertical.</w:t>
      </w:r>
    </w:p>
    <w:p>
      <w:pPr>
        <w:pStyle w:val="ListBullet"/>
        <w:spacing w:after="50"/>
        <w:ind w:left="288" w:hanging="173"/>
        <w:widowControl w:val="1"/>
      </w:pPr>
      <w:r>
        <w:rPr>
          <w:rFonts w:ascii="Arial" w:hAnsi="Arial" w:eastAsia="Arial"/>
          <w:color w:val="0F172A"/>
          <w:sz w:val="20"/>
        </w:rPr>
        <w:t>Serving every small business category at launch.</w:t>
      </w:r>
    </w:p>
    <w:p>
      <w:pPr>
        <w:pStyle w:val="Heading2"/>
        <w:keepNext/>
        <w:spacing w:before="160" w:after="80"/>
        <w:widowControl w:val="1"/>
      </w:pPr>
      <w:r>
        <w:rPr>
          <w:rFonts w:ascii="Arial" w:hAnsi="Arial" w:eastAsia="Arial"/>
          <w:b/>
          <w:color w:val="0F766E"/>
          <w:sz w:val="26"/>
        </w:rPr>
        <w:t>Autonomy ladder</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Mode</w:t>
            </w:r>
          </w:p>
        </w:tc>
        <w:tc>
          <w:tcPr>
            <w:tcW w:type="dxa" w:w="4464"/>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What the system may do</w:t>
            </w:r>
          </w:p>
        </w:tc>
        <w:tc>
          <w:tcPr>
            <w:tcW w:type="dxa" w:w="3456"/>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What the owner approves</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Assisted</w:t>
            </w:r>
          </w:p>
        </w:tc>
        <w:tc>
          <w:tcPr>
            <w:tcW w:type="dxa" w:w="446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Draft plans, assets, replies, and schedules. Nothing external happens automatically.</w:t>
            </w:r>
          </w:p>
        </w:tc>
        <w:tc>
          <w:tcPr>
            <w:tcW w:type="dxa" w:w="345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Every asset, message sequence, campaign, and publish action.</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Supervised</w:t>
            </w:r>
          </w:p>
        </w:tc>
        <w:tc>
          <w:tcPr>
            <w:tcW w:type="dxa" w:w="446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Execute routine actions inside an approved campaign and policy.</w:t>
            </w:r>
          </w:p>
        </w:tc>
        <w:tc>
          <w:tcPr>
            <w:tcW w:type="dxa" w:w="345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Campaign strategy, sensitive claims, new offers, budget, and exceptions.</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Bounded autonomous</w:t>
            </w:r>
          </w:p>
        </w:tc>
        <w:tc>
          <w:tcPr>
            <w:tcW w:type="dxa" w:w="446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Operate within channel, budget, claim, frequency, and confidence limits; pause on risk.</w:t>
            </w:r>
          </w:p>
        </w:tc>
        <w:tc>
          <w:tcPr>
            <w:tcW w:type="dxa" w:w="345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Policy changes, material budget changes, high-risk content, and escalations.</w:t>
            </w:r>
          </w:p>
        </w:tc>
      </w:tr>
    </w:tbl>
    <w:p>
      <w:pPr>
        <w:spacing w:after="20"/>
        <w:widowControl w:val="1"/>
      </w:pPr>
    </w:p>
    <w:p>
      <w:pPr>
        <w:keepNext/>
        <w:spacing w:before="0" w:after="100"/>
        <w:widowControl w:val="1"/>
      </w:pPr>
      <w:r>
        <w:rPr>
          <w:rFonts w:ascii="Arial" w:hAnsi="Arial" w:eastAsia="Arial"/>
          <w:b/>
          <w:color w:val="0F172A"/>
          <w:sz w:val="38"/>
        </w:rPr>
        <w:t>4  Major product components</w:t>
      </w:r>
    </w:p>
    <w:p>
      <w:pPr>
        <w:keepNext/>
        <w:spacing w:after="160"/>
        <w:widowControl w:val="1"/>
      </w:pPr>
      <w:r>
        <w:rPr>
          <w:rFonts w:ascii="Arial" w:hAnsi="Arial" w:eastAsia="Arial"/>
          <w:color w:val="0F766E"/>
          <w:sz w:val="14"/>
        </w:rPr>
        <w:t>━━━━━━━━━━━━━━━━━━━━━━━━━━━━━━━━━━━━━━━━</w:t>
      </w:r>
    </w:p>
    <w:p>
      <w:pPr>
        <w:keepNext/>
        <w:spacing w:after="160"/>
        <w:widowControl w:val="1"/>
      </w:pPr>
      <w:r>
        <w:rPr>
          <w:rFonts w:ascii="Arial" w:hAnsi="Arial" w:eastAsia="Arial"/>
          <w:i/>
          <w:color w:val="64748B"/>
          <w:sz w:val="20"/>
        </w:rPr>
        <w:t>Each component should have a clear customer job, system boundary, and release priority.</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180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Component</w:t>
            </w:r>
          </w:p>
        </w:tc>
        <w:tc>
          <w:tcPr>
            <w:tcW w:type="dxa" w:w="2088"/>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Customer job</w:t>
            </w:r>
          </w:p>
        </w:tc>
        <w:tc>
          <w:tcPr>
            <w:tcW w:type="dxa" w:w="2951"/>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P0 capability</w:t>
            </w:r>
          </w:p>
        </w:tc>
        <w:tc>
          <w:tcPr>
            <w:tcW w:type="dxa" w:w="288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Competitor-grade evolution</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1. Business Brain</w:t>
            </w:r>
          </w:p>
        </w:tc>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Teach the agency the business once.</w:t>
            </w:r>
          </w:p>
        </w:tc>
        <w:tc>
          <w:tcPr>
            <w:tcW w:type="dxa" w:w="2951"/>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Website/file import; products, offers, audience, voice, FAQs, claims, restrictions; owner verification.</w:t>
            </w:r>
          </w:p>
        </w:tc>
        <w:tc>
          <w:tcPr>
            <w:tcW w:type="dxa" w:w="288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Source citations, expiry dates, confidence, conflict detection, campaign memory, vertical templates.</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2. Growth Planner</w:t>
            </w:r>
          </w:p>
        </w:tc>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Turn a business goal into a campaign.</w:t>
            </w:r>
          </w:p>
        </w:tc>
        <w:tc>
          <w:tcPr>
            <w:tcW w:type="dxa" w:w="2951"/>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Goal, audience, offer, channel, funnel, content plan, lead flow, KPI, assumptions.</w:t>
            </w:r>
          </w:p>
        </w:tc>
        <w:tc>
          <w:tcPr>
            <w:tcW w:type="dxa" w:w="288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Budget scenarios, capacity awareness, benchmarks, reusable playbooks, experiment backlog.</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3. Creative Studio</w:t>
            </w:r>
          </w:p>
        </w:tc>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Produce coordinated campaign assets.</w:t>
            </w:r>
          </w:p>
        </w:tc>
        <w:tc>
          <w:tcPr>
            <w:tcW w:type="dxa" w:w="2951"/>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Captions, ads, images, carousels, landing copy, WhatsApp/email sequences, video scripts.</w:t>
            </w:r>
          </w:p>
        </w:tc>
        <w:tc>
          <w:tcPr>
            <w:tcW w:type="dxa" w:w="288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Bulk edit, localization, templates, variant testing, rich preview, brand QA, content reuse.</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4. Approval Centre</w:t>
            </w:r>
          </w:p>
        </w:tc>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Review important decisions quickly.</w:t>
            </w:r>
          </w:p>
        </w:tc>
        <w:tc>
          <w:tcPr>
            <w:tcW w:type="dxa" w:w="2951"/>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Versioned approve/reject/request-change; comments; exact diff; audit event.</w:t>
            </w:r>
          </w:p>
        </w:tc>
        <w:tc>
          <w:tcPr>
            <w:tcW w:type="dxa" w:w="288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External approval links, multi-step policies, approval bundles, SLA reminders, risk labels.</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5. Calendar + Publisher</w:t>
            </w:r>
          </w:p>
        </w:tc>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Publish reliably at the correct time.</w:t>
            </w:r>
          </w:p>
        </w:tc>
        <w:tc>
          <w:tcPr>
            <w:tcW w:type="dxa" w:w="2951"/>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Calendar, scheduling, channel adapters, retries, token health, publication status.</w:t>
            </w:r>
          </w:p>
        </w:tc>
        <w:tc>
          <w:tcPr>
            <w:tcW w:type="dxa" w:w="288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Best-time suggestions, bulk changes, more networks, direct APIs, social inbox, listening.</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6. Lead Concierge</w:t>
            </w:r>
          </w:p>
        </w:tc>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Turn interest into a qualified next step.</w:t>
            </w:r>
          </w:p>
        </w:tc>
        <w:tc>
          <w:tcPr>
            <w:tcW w:type="dxa" w:w="2951"/>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Source-aware inbox, instant reply, FAQs, progressive qualification, booking, follow-up, human takeover.</w:t>
            </w:r>
          </w:p>
        </w:tc>
        <w:tc>
          <w:tcPr>
            <w:tcW w:type="dxa" w:w="288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Scoring, routing, reactivation, CRM sync, voice, multilingual flows, vertical sales playbooks.</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7. Revenue Intelligence</w:t>
            </w:r>
          </w:p>
        </w:tc>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Understand what produced customers.</w:t>
            </w:r>
          </w:p>
        </w:tc>
        <w:tc>
          <w:tcPr>
            <w:tcW w:type="dxa" w:w="2951"/>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Campaign-to-lead-to-booking funnel, outcomes, lost reasons, weekly learning memo.</w:t>
            </w:r>
          </w:p>
        </w:tc>
        <w:tc>
          <w:tcPr>
            <w:tcW w:type="dxa" w:w="288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Offline conversion sync, cohort value, experiments, benchmarks, budget recommendations.</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8. Trust + Control</w:t>
            </w:r>
          </w:p>
        </w:tc>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Stay safe and in control.</w:t>
            </w:r>
          </w:p>
        </w:tc>
        <w:tc>
          <w:tcPr>
            <w:tcW w:type="dxa" w:w="2951"/>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Roles, tenant isolation, approval rules, consent, opt-out, audit log, emergency pause.</w:t>
            </w:r>
          </w:p>
        </w:tc>
        <w:tc>
          <w:tcPr>
            <w:tcW w:type="dxa" w:w="288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Fine-grained policy engine, compliance packs, anomaly detection, advanced retention and export.</w:t>
            </w:r>
          </w:p>
        </w:tc>
      </w:tr>
    </w:tbl>
    <w:p>
      <w:pPr>
        <w:spacing w:after="20"/>
        <w:widowControl w:val="1"/>
      </w:pPr>
    </w:p>
    <w:p>
      <w:pPr>
        <w:pStyle w:val="Heading2"/>
        <w:keepNext/>
        <w:spacing w:before="160" w:after="80"/>
        <w:widowControl w:val="1"/>
      </w:pPr>
      <w:r>
        <w:rPr>
          <w:rFonts w:ascii="Arial" w:hAnsi="Arial" w:eastAsia="Arial"/>
          <w:b/>
          <w:color w:val="0F766E"/>
          <w:sz w:val="26"/>
        </w:rPr>
        <w:t>Primary owner journey</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Moment</w:t>
            </w:r>
          </w:p>
        </w:tc>
        <w:tc>
          <w:tcPr>
            <w:tcW w:type="dxa" w:w="3671"/>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Owner sees</w:t>
            </w:r>
          </w:p>
        </w:tc>
        <w:tc>
          <w:tcPr>
            <w:tcW w:type="dxa" w:w="4248"/>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System does</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Onboarding</w:t>
            </w:r>
          </w:p>
        </w:tc>
        <w:tc>
          <w:tcPr>
            <w:tcW w:type="dxa" w:w="3671"/>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A guided interview and imported business facts.</w:t>
            </w:r>
          </w:p>
        </w:tc>
        <w:tc>
          <w:tcPr>
            <w:tcW w:type="dxa" w:w="424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Creates Business Brain; flags uncertainty; asks only for missing or conflicting information.</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Campaign request</w:t>
            </w:r>
          </w:p>
        </w:tc>
        <w:tc>
          <w:tcPr>
            <w:tcW w:type="dxa" w:w="3671"/>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Goal, time period, budget, capacity, and offer controls.</w:t>
            </w:r>
          </w:p>
        </w:tc>
        <w:tc>
          <w:tcPr>
            <w:tcW w:type="dxa" w:w="424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Builds strategy, expected funnel, assets, lead questions, and success metrics.</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Approval</w:t>
            </w:r>
          </w:p>
        </w:tc>
        <w:tc>
          <w:tcPr>
            <w:tcW w:type="dxa" w:w="3671"/>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One campaign summary plus asset previews and risk labels.</w:t>
            </w:r>
          </w:p>
        </w:tc>
        <w:tc>
          <w:tcPr>
            <w:tcW w:type="dxa" w:w="424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Locks approved versions and creates scheduled work.</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Execution</w:t>
            </w:r>
          </w:p>
        </w:tc>
        <w:tc>
          <w:tcPr>
            <w:tcW w:type="dxa" w:w="3671"/>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Calendar, publication status, lead inbox, and alerts.</w:t>
            </w:r>
          </w:p>
        </w:tc>
        <w:tc>
          <w:tcPr>
            <w:tcW w:type="dxa" w:w="424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Publishes, retries, captures leads, responds, qualifies, and books.</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Weekly review</w:t>
            </w:r>
          </w:p>
        </w:tc>
        <w:tc>
          <w:tcPr>
            <w:tcW w:type="dxa" w:w="3671"/>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Outcomes, lost reasons, evidence, and recommended next test.</w:t>
            </w:r>
          </w:p>
        </w:tc>
        <w:tc>
          <w:tcPr>
            <w:tcW w:type="dxa" w:w="424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Connects the funnel and proposes the next campaign or correction.</w:t>
            </w:r>
          </w:p>
        </w:tc>
      </w:tr>
    </w:tbl>
    <w:p>
      <w:pPr>
        <w:spacing w:after="20"/>
        <w:widowControl w:val="1"/>
      </w:pPr>
    </w:p>
    <w:p>
      <w:pPr>
        <w:pStyle w:val="Heading2"/>
        <w:keepNext/>
        <w:spacing w:before="160" w:after="80"/>
        <w:widowControl w:val="1"/>
      </w:pPr>
      <w:r>
        <w:rPr>
          <w:rFonts w:ascii="Arial" w:hAnsi="Arial" w:eastAsia="Arial"/>
          <w:b/>
          <w:color w:val="0F766E"/>
          <w:sz w:val="26"/>
        </w:rPr>
        <w:t>Minimum credible MVP acceptance criteria</w:t>
      </w:r>
    </w:p>
    <w:p>
      <w:pPr>
        <w:pStyle w:val="ListBullet"/>
        <w:spacing w:after="50"/>
        <w:ind w:left="288" w:hanging="173"/>
        <w:widowControl w:val="1"/>
      </w:pPr>
      <w:r>
        <w:rPr>
          <w:rFonts w:ascii="Arial" w:hAnsi="Arial" w:eastAsia="Arial"/>
          <w:color w:val="0F172A"/>
          <w:sz w:val="20"/>
        </w:rPr>
        <w:t>An owner can create a verified Business Brain without manual database work.</w:t>
      </w:r>
    </w:p>
    <w:p>
      <w:pPr>
        <w:pStyle w:val="ListBullet"/>
        <w:spacing w:after="50"/>
        <w:ind w:left="288" w:hanging="173"/>
        <w:widowControl w:val="1"/>
      </w:pPr>
      <w:r>
        <w:rPr>
          <w:rFonts w:ascii="Arial" w:hAnsi="Arial" w:eastAsia="Arial"/>
          <w:color w:val="0F172A"/>
          <w:sz w:val="20"/>
        </w:rPr>
        <w:t>The owner can request one measurable campaign and receive a coherent plan plus coordinated assets.</w:t>
      </w:r>
    </w:p>
    <w:p>
      <w:pPr>
        <w:pStyle w:val="ListBullet"/>
        <w:spacing w:after="50"/>
        <w:ind w:left="288" w:hanging="173"/>
        <w:widowControl w:val="1"/>
      </w:pPr>
      <w:r>
        <w:rPr>
          <w:rFonts w:ascii="Arial" w:hAnsi="Arial" w:eastAsia="Arial"/>
          <w:color w:val="0F172A"/>
          <w:sz w:val="20"/>
        </w:rPr>
        <w:t>The owner can approve an exact asset/campaign version and see an audit trail.</w:t>
      </w:r>
    </w:p>
    <w:p>
      <w:pPr>
        <w:pStyle w:val="ListBullet"/>
        <w:spacing w:after="50"/>
        <w:ind w:left="288" w:hanging="173"/>
        <w:widowControl w:val="1"/>
      </w:pPr>
      <w:r>
        <w:rPr>
          <w:rFonts w:ascii="Arial" w:hAnsi="Arial" w:eastAsia="Arial"/>
          <w:color w:val="0F172A"/>
          <w:sz w:val="20"/>
        </w:rPr>
        <w:t>Approved posts can be scheduled and published to the initial channels with retries and failure alerts.</w:t>
      </w:r>
    </w:p>
    <w:p>
      <w:pPr>
        <w:pStyle w:val="ListBullet"/>
        <w:spacing w:after="50"/>
        <w:ind w:left="288" w:hanging="173"/>
        <w:widowControl w:val="1"/>
      </w:pPr>
      <w:r>
        <w:rPr>
          <w:rFonts w:ascii="Arial" w:hAnsi="Arial" w:eastAsia="Arial"/>
          <w:color w:val="0F172A"/>
          <w:sz w:val="20"/>
        </w:rPr>
        <w:t>A lead can be captured from the campaign with source context and consent information.</w:t>
      </w:r>
    </w:p>
    <w:p>
      <w:pPr>
        <w:pStyle w:val="ListBullet"/>
        <w:spacing w:after="50"/>
        <w:ind w:left="288" w:hanging="173"/>
        <w:widowControl w:val="1"/>
      </w:pPr>
      <w:r>
        <w:rPr>
          <w:rFonts w:ascii="Arial" w:hAnsi="Arial" w:eastAsia="Arial"/>
          <w:color w:val="0F172A"/>
          <w:sz w:val="20"/>
        </w:rPr>
        <w:t>The Lead Concierge can answer approved FAQs, qualify progressively, offer real availability, and book a slot.</w:t>
      </w:r>
    </w:p>
    <w:p>
      <w:pPr>
        <w:pStyle w:val="ListBullet"/>
        <w:spacing w:after="50"/>
        <w:ind w:left="288" w:hanging="173"/>
        <w:widowControl w:val="1"/>
      </w:pPr>
      <w:r>
        <w:rPr>
          <w:rFonts w:ascii="Arial" w:hAnsi="Arial" w:eastAsia="Arial"/>
          <w:color w:val="0F172A"/>
          <w:sz w:val="20"/>
        </w:rPr>
        <w:t>The owner can take over instantly and the AI stops sending messages.</w:t>
      </w:r>
    </w:p>
    <w:p>
      <w:pPr>
        <w:pStyle w:val="ListBullet"/>
        <w:spacing w:after="50"/>
        <w:ind w:left="288" w:hanging="173"/>
        <w:widowControl w:val="1"/>
      </w:pPr>
      <w:r>
        <w:rPr>
          <w:rFonts w:ascii="Arial" w:hAnsi="Arial" w:eastAsia="Arial"/>
          <w:color w:val="0F172A"/>
          <w:sz w:val="20"/>
        </w:rPr>
        <w:t>The product can show the funnel from campaign to qualified lead to attended outcome.</w:t>
      </w:r>
    </w:p>
    <w:p>
      <w:pPr>
        <w:pStyle w:val="ListBullet"/>
        <w:spacing w:after="50"/>
        <w:ind w:left="288" w:hanging="173"/>
        <w:widowControl w:val="1"/>
      </w:pPr>
      <w:r>
        <w:rPr>
          <w:rFonts w:ascii="Arial" w:hAnsi="Arial" w:eastAsia="Arial"/>
          <w:color w:val="0F172A"/>
          <w:sz w:val="20"/>
        </w:rPr>
        <w:t>A weekly learning memo recommends the next experiment and separates evidence from hypothesis.</w:t>
      </w:r>
    </w:p>
    <w:p>
      <w:pPr>
        <w:keepNext/>
        <w:spacing w:before="0" w:after="100"/>
        <w:widowControl w:val="1"/>
      </w:pPr>
      <w:r>
        <w:rPr>
          <w:rFonts w:ascii="Arial" w:hAnsi="Arial" w:eastAsia="Arial"/>
          <w:b/>
          <w:color w:val="0F172A"/>
          <w:sz w:val="38"/>
        </w:rPr>
        <w:t>5  Lead-conversion strategy</w:t>
      </w:r>
    </w:p>
    <w:p>
      <w:pPr>
        <w:keepNext/>
        <w:spacing w:after="160"/>
        <w:widowControl w:val="1"/>
      </w:pPr>
      <w:r>
        <w:rPr>
          <w:rFonts w:ascii="Arial" w:hAnsi="Arial" w:eastAsia="Arial"/>
          <w:color w:val="0F766E"/>
          <w:sz w:val="14"/>
        </w:rPr>
        <w:t>━━━━━━━━━━━━━━━━━━━━━━━━━━━━━━━━━━━━━━━━</w:t>
      </w:r>
    </w:p>
    <w:p>
      <w:pPr>
        <w:keepNext/>
        <w:spacing w:after="160"/>
        <w:widowControl w:val="1"/>
      </w:pPr>
      <w:r>
        <w:rPr>
          <w:rFonts w:ascii="Arial" w:hAnsi="Arial" w:eastAsia="Arial"/>
          <w:i/>
          <w:color w:val="64748B"/>
          <w:sz w:val="20"/>
        </w:rPr>
        <w:t>Lead handling should be core, but the product should not become a complete CRM in version one.</w:t>
      </w:r>
    </w:p>
    <w:p>
      <w:pPr>
        <w:pStyle w:val="Heading2"/>
        <w:keepNext/>
        <w:spacing w:before="160" w:after="80"/>
        <w:widowControl w:val="1"/>
      </w:pPr>
      <w:r>
        <w:rPr>
          <w:rFonts w:ascii="Arial" w:hAnsi="Arial" w:eastAsia="Arial"/>
          <w:b/>
          <w:color w:val="0F766E"/>
          <w:sz w:val="26"/>
        </w:rPr>
        <w:t>Product boundary</w:t>
      </w:r>
    </w:p>
    <w:tbl>
      <w:tblPr>
        <w:tblW w:type="auto" w:w="0"/>
        <w:jc w:val="center"/>
        <w:tblLayout w:type="fixed"/>
        <w:tblLook w:firstColumn="1" w:firstRow="1" w:lastColumn="0" w:lastRow="0" w:noHBand="0" w:noVBand="1" w:val="04A0"/>
      </w:tblPr>
      <w:tblGrid>
        <w:gridCol w:w="9835"/>
      </w:tblGrid>
      <w:tr>
        <w:trPr>
          <w:cantSplit/>
        </w:trPr>
        <w:tc>
          <w:tcPr>
            <w:tcW w:type="dxa" w:w="9720"/>
            <w:shd w:fill="DCFCE7"/>
            <w:tcMar>
              <w:top w:w="120" w:type="dxa"/>
              <w:start w:w="150" w:type="dxa"/>
              <w:bottom w:w="120" w:type="dxa"/>
              <w:end w:w="150" w:type="dxa"/>
            </w:tcMar>
            <w:tcBorders>
              <w:top w:val="nil"/>
              <w:start w:val="single" w:sz="18" w:color="166534"/>
              <w:bottom w:val="nil"/>
              <w:end w:val="nil"/>
            </w:tcBorders>
          </w:tcPr>
          <w:p>
            <w:pPr>
              <w:spacing w:after="60"/>
            </w:pPr>
            <w:r>
              <w:rPr>
                <w:rFonts w:ascii="Arial" w:hAnsi="Arial" w:eastAsia="Arial"/>
                <w:b/>
                <w:color w:val="166534"/>
                <w:sz w:val="21"/>
              </w:rPr>
              <w:t>Recommended boundary</w:t>
            </w:r>
          </w:p>
          <w:p>
            <w:pPr>
              <w:spacing w:after="0"/>
            </w:pPr>
            <w:r>
              <w:rPr>
                <w:rFonts w:ascii="Arial" w:hAnsi="Arial" w:eastAsia="Arial"/>
                <w:color w:val="0F172A"/>
                <w:sz w:val="19"/>
              </w:rPr>
              <w:t>Build a campaign-native lead-conversion layer: capture, conversation, qualification, booking, follow-up, handoff, outcome, and learning. Provide a simple native pipeline, and integrate with full CRMs when customers already have one.</w:t>
            </w:r>
          </w:p>
        </w:tc>
      </w:tr>
    </w:tbl>
    <w:p>
      <w:pPr>
        <w:spacing w:after="20"/>
        <w:widowControl w:val="1"/>
      </w:pPr>
    </w:p>
    <w:p>
      <w:pPr>
        <w:pStyle w:val="Heading2"/>
        <w:keepNext/>
        <w:spacing w:before="160" w:after="80"/>
        <w:widowControl w:val="1"/>
      </w:pPr>
      <w:r>
        <w:rPr>
          <w:rFonts w:ascii="Arial" w:hAnsi="Arial" w:eastAsia="Arial"/>
          <w:b/>
          <w:color w:val="0F766E"/>
          <w:sz w:val="26"/>
        </w:rPr>
        <w:t>Lead lifecycle</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1224"/>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Stage</w:t>
            </w:r>
          </w:p>
        </w:tc>
        <w:tc>
          <w:tcPr>
            <w:tcW w:type="dxa" w:w="2951"/>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Automation</w:t>
            </w:r>
          </w:p>
        </w:tc>
        <w:tc>
          <w:tcPr>
            <w:tcW w:type="dxa" w:w="3096"/>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Stored context</w:t>
            </w:r>
          </w:p>
        </w:tc>
        <w:tc>
          <w:tcPr>
            <w:tcW w:type="dxa" w:w="2448"/>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Escalation</w:t>
            </w:r>
          </w:p>
        </w:tc>
      </w:tr>
      <w:tr>
        <w:trPr>
          <w:cantSplit/>
        </w:trPr>
        <w:tc>
          <w:tcPr>
            <w:tcW w:type="dxa" w:w="122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Capture</w:t>
            </w:r>
          </w:p>
        </w:tc>
        <w:tc>
          <w:tcPr>
            <w:tcW w:type="dxa" w:w="2951"/>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Create contact and conversation from form, DM, WhatsApp, landing page, or ad lead.</w:t>
            </w:r>
          </w:p>
        </w:tc>
        <w:tc>
          <w:tcPr>
            <w:tcW w:type="dxa" w:w="309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Platform, campaign, creative, offer, UTM/click ID, answers, consent, timestamp.</w:t>
            </w:r>
          </w:p>
        </w:tc>
        <w:tc>
          <w:tcPr>
            <w:tcW w:type="dxa" w:w="244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Duplicate, blocked source, missing consent, or suspected spam.</w:t>
            </w:r>
          </w:p>
        </w:tc>
      </w:tr>
      <w:tr>
        <w:trPr>
          <w:cantSplit/>
        </w:trPr>
        <w:tc>
          <w:tcPr>
            <w:tcW w:type="dxa" w:w="122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Acknowledge</w:t>
            </w:r>
          </w:p>
        </w:tc>
        <w:tc>
          <w:tcPr>
            <w:tcW w:type="dxa" w:w="2951"/>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Send an immediate campaign-specific response.</w:t>
            </w:r>
          </w:p>
        </w:tc>
        <w:tc>
          <w:tcPr>
            <w:tcW w:type="dxa" w:w="309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Response time, channel policy window, template status.</w:t>
            </w:r>
          </w:p>
        </w:tc>
        <w:tc>
          <w:tcPr>
            <w:tcW w:type="dxa" w:w="244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Delivery failure or policy restriction.</w:t>
            </w:r>
          </w:p>
        </w:tc>
      </w:tr>
      <w:tr>
        <w:trPr>
          <w:cantSplit/>
        </w:trPr>
        <w:tc>
          <w:tcPr>
            <w:tcW w:type="dxa" w:w="122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Answer</w:t>
            </w:r>
          </w:p>
        </w:tc>
        <w:tc>
          <w:tcPr>
            <w:tcW w:type="dxa" w:w="2951"/>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Use only approved business facts and prior conversation.</w:t>
            </w:r>
          </w:p>
        </w:tc>
        <w:tc>
          <w:tcPr>
            <w:tcW w:type="dxa" w:w="309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Source of each fact, confidence, last updated date.</w:t>
            </w:r>
          </w:p>
        </w:tc>
        <w:tc>
          <w:tcPr>
            <w:tcW w:type="dxa" w:w="244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Unknown price/policy, prohibited claim, angry user, sensitive topic.</w:t>
            </w:r>
          </w:p>
        </w:tc>
      </w:tr>
      <w:tr>
        <w:trPr>
          <w:cantSplit/>
        </w:trPr>
        <w:tc>
          <w:tcPr>
            <w:tcW w:type="dxa" w:w="122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Qualify</w:t>
            </w:r>
          </w:p>
        </w:tc>
        <w:tc>
          <w:tcPr>
            <w:tcW w:type="dxa" w:w="2951"/>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Ask one or two adaptive questions at a time.</w:t>
            </w:r>
          </w:p>
        </w:tc>
        <w:tc>
          <w:tcPr>
            <w:tcW w:type="dxa" w:w="309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Fit, intent, urgency, location, preference, timeline.</w:t>
            </w:r>
          </w:p>
        </w:tc>
        <w:tc>
          <w:tcPr>
            <w:tcW w:type="dxa" w:w="244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High-value prospect, negotiation, low confidence, owner rule.</w:t>
            </w:r>
          </w:p>
        </w:tc>
      </w:tr>
      <w:tr>
        <w:trPr>
          <w:cantSplit/>
        </w:trPr>
        <w:tc>
          <w:tcPr>
            <w:tcW w:type="dxa" w:w="122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Book</w:t>
            </w:r>
          </w:p>
        </w:tc>
        <w:tc>
          <w:tcPr>
            <w:tcW w:type="dxa" w:w="2951"/>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Read approved availability and confirm the next action.</w:t>
            </w:r>
          </w:p>
        </w:tc>
        <w:tc>
          <w:tcPr>
            <w:tcW w:type="dxa" w:w="309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Slot, calendar, service, reminder consent, timezone.</w:t>
            </w:r>
          </w:p>
        </w:tc>
        <w:tc>
          <w:tcPr>
            <w:tcW w:type="dxa" w:w="244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No suitable slot, special request, deposit issue.</w:t>
            </w:r>
          </w:p>
        </w:tc>
      </w:tr>
      <w:tr>
        <w:trPr>
          <w:cantSplit/>
        </w:trPr>
        <w:tc>
          <w:tcPr>
            <w:tcW w:type="dxa" w:w="122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Follow up</w:t>
            </w:r>
          </w:p>
        </w:tc>
        <w:tc>
          <w:tcPr>
            <w:tcW w:type="dxa" w:w="2951"/>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Use state-specific reminders, nurture, no-show recovery, or reactivation.</w:t>
            </w:r>
          </w:p>
        </w:tc>
        <w:tc>
          <w:tcPr>
            <w:tcW w:type="dxa" w:w="309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Message reason, frequency, opt-out, prior responses.</w:t>
            </w:r>
          </w:p>
        </w:tc>
        <w:tc>
          <w:tcPr>
            <w:tcW w:type="dxa" w:w="244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Repeated non-response, complaint, frequency limit, opt-out.</w:t>
            </w:r>
          </w:p>
        </w:tc>
      </w:tr>
      <w:tr>
        <w:trPr>
          <w:cantSplit/>
        </w:trPr>
        <w:tc>
          <w:tcPr>
            <w:tcW w:type="dxa" w:w="122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Outcome</w:t>
            </w:r>
          </w:p>
        </w:tc>
        <w:tc>
          <w:tcPr>
            <w:tcW w:type="dxa" w:w="2951"/>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Record attended, won, lost, and reason; sync where needed.</w:t>
            </w:r>
          </w:p>
        </w:tc>
        <w:tc>
          <w:tcPr>
            <w:tcW w:type="dxa" w:w="309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Revenue or outcome value, source campaign, owner verification.</w:t>
            </w:r>
          </w:p>
        </w:tc>
        <w:tc>
          <w:tcPr>
            <w:tcW w:type="dxa" w:w="244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Conflicting data or uncertain attribution.</w:t>
            </w:r>
          </w:p>
        </w:tc>
      </w:tr>
    </w:tbl>
    <w:p>
      <w:pPr>
        <w:spacing w:after="20"/>
        <w:widowControl w:val="1"/>
      </w:pPr>
    </w:p>
    <w:p>
      <w:pPr>
        <w:pStyle w:val="Heading2"/>
        <w:keepNext/>
        <w:spacing w:before="160" w:after="80"/>
        <w:widowControl w:val="1"/>
      </w:pPr>
      <w:r>
        <w:rPr>
          <w:rFonts w:ascii="Arial" w:hAnsi="Arial" w:eastAsia="Arial"/>
          <w:b/>
          <w:color w:val="0F766E"/>
          <w:sz w:val="26"/>
        </w:rPr>
        <w:t>Explainable lead score</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944"/>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Dimension</w:t>
            </w:r>
          </w:p>
        </w:tc>
        <w:tc>
          <w:tcPr>
            <w:tcW w:type="dxa" w:w="2015"/>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Suggested weight</w:t>
            </w:r>
          </w:p>
        </w:tc>
        <w:tc>
          <w:tcPr>
            <w:tcW w:type="dxa" w:w="576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Examples</w:t>
            </w:r>
          </w:p>
        </w:tc>
      </w:tr>
      <w:tr>
        <w:trPr>
          <w:cantSplit/>
        </w:trPr>
        <w:tc>
          <w:tcPr>
            <w:tcW w:type="dxa" w:w="194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Fit</w:t>
            </w:r>
          </w:p>
        </w:tc>
        <w:tc>
          <w:tcPr>
            <w:tcW w:type="dxa" w:w="2015"/>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0–40</w:t>
            </w:r>
          </w:p>
        </w:tc>
        <w:tc>
          <w:tcPr>
            <w:tcW w:type="dxa" w:w="576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Location, service match, eligibility, business size, role, or vertical criteria.</w:t>
            </w:r>
          </w:p>
        </w:tc>
      </w:tr>
      <w:tr>
        <w:trPr>
          <w:cantSplit/>
        </w:trPr>
        <w:tc>
          <w:tcPr>
            <w:tcW w:type="dxa" w:w="194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Intent</w:t>
            </w:r>
          </w:p>
        </w:tc>
        <w:tc>
          <w:tcPr>
            <w:tcW w:type="dxa" w:w="2015"/>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0–30</w:t>
            </w:r>
          </w:p>
        </w:tc>
        <w:tc>
          <w:tcPr>
            <w:tcW w:type="dxa" w:w="576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Asked for availability, price, demo, trial, or a direct next step.</w:t>
            </w:r>
          </w:p>
        </w:tc>
      </w:tr>
      <w:tr>
        <w:trPr>
          <w:cantSplit/>
        </w:trPr>
        <w:tc>
          <w:tcPr>
            <w:tcW w:type="dxa" w:w="194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Urgency</w:t>
            </w:r>
          </w:p>
        </w:tc>
        <w:tc>
          <w:tcPr>
            <w:tcW w:type="dxa" w:w="2015"/>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0–20</w:t>
            </w:r>
          </w:p>
        </w:tc>
        <w:tc>
          <w:tcPr>
            <w:tcW w:type="dxa" w:w="576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Wants to start this week, has a deadline, or has an active need.</w:t>
            </w:r>
          </w:p>
        </w:tc>
      </w:tr>
      <w:tr>
        <w:trPr>
          <w:cantSplit/>
        </w:trPr>
        <w:tc>
          <w:tcPr>
            <w:tcW w:type="dxa" w:w="194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Engagement</w:t>
            </w:r>
          </w:p>
        </w:tc>
        <w:tc>
          <w:tcPr>
            <w:tcW w:type="dxa" w:w="2015"/>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0–10</w:t>
            </w:r>
          </w:p>
        </w:tc>
        <w:tc>
          <w:tcPr>
            <w:tcW w:type="dxa" w:w="576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Answered questions, opened links, returned to the conversation.</w:t>
            </w:r>
          </w:p>
        </w:tc>
      </w:tr>
    </w:tbl>
    <w:p>
      <w:pPr>
        <w:spacing w:after="20"/>
        <w:widowControl w:val="1"/>
      </w:pPr>
    </w:p>
    <w:p>
      <w:pPr>
        <w:spacing w:after="100"/>
        <w:widowControl w:val="1"/>
      </w:pPr>
      <w:r>
        <w:rPr>
          <w:rFonts w:ascii="Arial" w:hAnsi="Arial" w:eastAsia="Arial"/>
          <w:i/>
          <w:color w:val="64748B"/>
          <w:sz w:val="17"/>
        </w:rPr>
        <w:t>Begin with transparent rules. Use machine learning only after enough verified outcomes exist and only when its lift can be measured.</w:t>
      </w:r>
    </w:p>
    <w:p>
      <w:pPr>
        <w:pStyle w:val="Heading2"/>
        <w:keepNext/>
        <w:spacing w:before="160" w:after="80"/>
        <w:widowControl w:val="1"/>
      </w:pPr>
      <w:r>
        <w:rPr>
          <w:rFonts w:ascii="Arial" w:hAnsi="Arial" w:eastAsia="Arial"/>
          <w:b/>
          <w:color w:val="0F766E"/>
          <w:sz w:val="26"/>
        </w:rPr>
        <w:t>Human takeover rules</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4680"/>
            <w:shd w:fill="B91C1C"/>
            <w:tcMar>
              <w:top w:w="85" w:type="dxa"/>
              <w:start w:w="75" w:type="dxa"/>
              <w:bottom w:w="85" w:type="dxa"/>
              <w:end w:w="75" w:type="dxa"/>
            </w:tcMar>
            <w:tcBorders>
              <w:top w:val="single" w:sz="5" w:color="B91C1C"/>
              <w:start w:val="single" w:sz="5" w:color="FFFFFF"/>
              <w:bottom w:val="single" w:sz="5" w:color="B91C1C"/>
              <w:end w:val="single" w:sz="5" w:color="FFFFFF"/>
            </w:tcBorders>
            <w:vAlign w:val="center"/>
          </w:tcPr>
          <w:p>
            <w:pPr>
              <w:jc w:val="left"/>
            </w:pPr>
            <w:r>
              <w:rPr>
                <w:rFonts w:ascii="Arial" w:hAnsi="Arial" w:eastAsia="Arial"/>
                <w:b/>
                <w:color w:val="FFFFFF"/>
                <w:sz w:val="17"/>
              </w:rPr>
              <w:t>Take over when</w:t>
            </w:r>
          </w:p>
        </w:tc>
        <w:tc>
          <w:tcPr>
            <w:tcW w:type="dxa" w:w="5040"/>
            <w:shd w:fill="B91C1C"/>
            <w:tcMar>
              <w:top w:w="85" w:type="dxa"/>
              <w:start w:w="75" w:type="dxa"/>
              <w:bottom w:w="85" w:type="dxa"/>
              <w:end w:w="75" w:type="dxa"/>
            </w:tcMar>
            <w:tcBorders>
              <w:top w:val="single" w:sz="5" w:color="B91C1C"/>
              <w:start w:val="single" w:sz="5" w:color="FFFFFF"/>
              <w:bottom w:val="single" w:sz="5" w:color="B91C1C"/>
              <w:end w:val="single" w:sz="5" w:color="FFFFFF"/>
            </w:tcBorders>
            <w:vAlign w:val="center"/>
          </w:tcPr>
          <w:p>
            <w:pPr>
              <w:jc w:val="left"/>
            </w:pPr>
            <w:r>
              <w:rPr>
                <w:rFonts w:ascii="Arial" w:hAnsi="Arial" w:eastAsia="Arial"/>
                <w:b/>
                <w:color w:val="FFFFFF"/>
                <w:sz w:val="17"/>
              </w:rPr>
              <w:t>Owner receives</w:t>
            </w:r>
          </w:p>
        </w:tc>
      </w:tr>
      <w:tr>
        <w:trPr>
          <w:cantSplit/>
        </w:trPr>
        <w:tc>
          <w:tcPr>
            <w:tcW w:type="dxa" w:w="468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8"/>
              </w:rPr>
              <w:t>The person requests a human, shows strong buying intent, needs negotiation, is upset, asks a sensitive question, or the agent is uncertain.</w:t>
            </w:r>
          </w:p>
        </w:tc>
        <w:tc>
          <w:tcPr>
            <w:tcW w:type="dxa" w:w="504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8"/>
              </w:rPr>
              <w:t>A concise summary: source campaign, goal, qualification facts, objection, recent messages, recommended next action, and a suggested reply.</w:t>
            </w:r>
          </w:p>
        </w:tc>
      </w:tr>
    </w:tbl>
    <w:p>
      <w:pPr>
        <w:spacing w:after="20"/>
        <w:widowControl w:val="1"/>
      </w:pPr>
    </w:p>
    <w:p>
      <w:pPr>
        <w:pStyle w:val="Heading2"/>
        <w:keepNext/>
        <w:spacing w:before="160" w:after="80"/>
        <w:widowControl w:val="1"/>
      </w:pPr>
      <w:r>
        <w:rPr>
          <w:rFonts w:ascii="Arial" w:hAnsi="Arial" w:eastAsia="Arial"/>
          <w:b/>
          <w:color w:val="0F766E"/>
          <w:sz w:val="26"/>
        </w:rPr>
        <w:t>Lead data that improves marketing</w:t>
      </w:r>
    </w:p>
    <w:p>
      <w:pPr>
        <w:keepNext w:val="0"/>
        <w:spacing w:after="100" w:before="0"/>
        <w:widowControl w:val="1"/>
      </w:pPr>
      <w:r>
        <w:rPr>
          <w:rFonts w:ascii="Arial" w:hAnsi="Arial" w:eastAsia="Arial"/>
        </w:rPr>
        <w:t>The most valuable marketing signals often occur after the click. The product should learn which campaign produced qualified leads, which question caused drop-off, which objection blocked booking, which reminder recovered a lead, which appointments were attended, and which customers were won. Lost-lead reasons become campaign inputs, not forgotten CRM notes.</w:t>
      </w:r>
    </w:p>
    <w:p>
      <w:pPr>
        <w:keepNext/>
        <w:spacing w:before="0" w:after="100"/>
        <w:widowControl w:val="1"/>
      </w:pPr>
      <w:r>
        <w:rPr>
          <w:rFonts w:ascii="Arial" w:hAnsi="Arial" w:eastAsia="Arial"/>
          <w:b/>
          <w:color w:val="0F172A"/>
          <w:sz w:val="38"/>
        </w:rPr>
        <w:t>6  AI agents and workflow management</w:t>
      </w:r>
    </w:p>
    <w:p>
      <w:pPr>
        <w:keepNext/>
        <w:spacing w:after="160"/>
        <w:widowControl w:val="1"/>
      </w:pPr>
      <w:r>
        <w:rPr>
          <w:rFonts w:ascii="Arial" w:hAnsi="Arial" w:eastAsia="Arial"/>
          <w:color w:val="0F766E"/>
          <w:sz w:val="14"/>
        </w:rPr>
        <w:t>━━━━━━━━━━━━━━━━━━━━━━━━━━━━━━━━━━━━━━━━</w:t>
      </w:r>
    </w:p>
    <w:p>
      <w:pPr>
        <w:keepNext/>
        <w:spacing w:after="160"/>
        <w:widowControl w:val="1"/>
      </w:pPr>
      <w:r>
        <w:rPr>
          <w:rFonts w:ascii="Arial" w:hAnsi="Arial" w:eastAsia="Arial"/>
          <w:i/>
          <w:color w:val="64748B"/>
          <w:sz w:val="20"/>
        </w:rPr>
        <w:t>Use specialist agents for judgment. Keep external actions behind deterministic services and explicit policy checks.</w:t>
      </w:r>
    </w:p>
    <w:p>
      <w:pPr>
        <w:pStyle w:val="Heading2"/>
        <w:keepNext/>
        <w:spacing w:before="160" w:after="80"/>
        <w:widowControl w:val="1"/>
      </w:pPr>
      <w:r>
        <w:rPr>
          <w:rFonts w:ascii="Arial" w:hAnsi="Arial" w:eastAsia="Arial"/>
          <w:b/>
          <w:color w:val="0F766E"/>
          <w:sz w:val="26"/>
        </w:rPr>
        <w:t>Agent roles</w:t>
      </w:r>
    </w:p>
    <w:tbl>
      <w:tblPr>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cantSplit/>
        </w:trPr>
        <w:tc>
          <w:tcPr>
            <w:tcW w:type="dxa" w:w="1655"/>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Agent</w:t>
            </w:r>
          </w:p>
        </w:tc>
        <w:tc>
          <w:tcPr>
            <w:tcW w:type="dxa" w:w="2015"/>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Role</w:t>
            </w:r>
          </w:p>
        </w:tc>
        <w:tc>
          <w:tcPr>
            <w:tcW w:type="dxa" w:w="1944"/>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Inputs</w:t>
            </w:r>
          </w:p>
        </w:tc>
        <w:tc>
          <w:tcPr>
            <w:tcW w:type="dxa" w:w="2232"/>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Structured output</w:t>
            </w:r>
          </w:p>
        </w:tc>
        <w:tc>
          <w:tcPr>
            <w:tcW w:type="dxa" w:w="1872"/>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May not directly do</w:t>
            </w:r>
          </w:p>
        </w:tc>
      </w:tr>
      <w:tr>
        <w:trPr>
          <w:cantSplit/>
        </w:trPr>
        <w:tc>
          <w:tcPr>
            <w:tcW w:type="dxa" w:w="1655"/>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4"/>
              </w:rPr>
              <w:t>Campaign Orchestrator</w:t>
            </w:r>
          </w:p>
        </w:tc>
        <w:tc>
          <w:tcPr>
            <w:tcW w:type="dxa" w:w="2015"/>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Own workflow state, delegate work, reconcile outputs, request approvals.</w:t>
            </w:r>
          </w:p>
        </w:tc>
        <w:tc>
          <w:tcPr>
            <w:tcW w:type="dxa" w:w="194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Goal, Business Brain, campaign state, policy.</w:t>
            </w:r>
          </w:p>
        </w:tc>
        <w:tc>
          <w:tcPr>
            <w:tcW w:type="dxa" w:w="22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Next step, task list, status, approvals needed.</w:t>
            </w:r>
          </w:p>
        </w:tc>
        <w:tc>
          <w:tcPr>
            <w:tcW w:type="dxa" w:w="187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Publish, spend money, or alter records without services.</w:t>
            </w:r>
          </w:p>
        </w:tc>
      </w:tr>
      <w:tr>
        <w:trPr>
          <w:cantSplit/>
        </w:trPr>
        <w:tc>
          <w:tcPr>
            <w:tcW w:type="dxa" w:w="1655"/>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4"/>
              </w:rPr>
              <w:t>Business Context Agent</w:t>
            </w:r>
          </w:p>
        </w:tc>
        <w:tc>
          <w:tcPr>
            <w:tcW w:type="dxa" w:w="2015"/>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Extract and reconcile business knowledge.</w:t>
            </w:r>
          </w:p>
        </w:tc>
        <w:tc>
          <w:tcPr>
            <w:tcW w:type="dxa" w:w="194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Website, files, forms, prior campaigns.</w:t>
            </w:r>
          </w:p>
        </w:tc>
        <w:tc>
          <w:tcPr>
            <w:tcW w:type="dxa" w:w="223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Facts, sources, conflicts, missing fields, confidence.</w:t>
            </w:r>
          </w:p>
        </w:tc>
        <w:tc>
          <w:tcPr>
            <w:tcW w:type="dxa" w:w="187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Mark disputed facts as approved.</w:t>
            </w:r>
          </w:p>
        </w:tc>
      </w:tr>
      <w:tr>
        <w:trPr>
          <w:cantSplit/>
        </w:trPr>
        <w:tc>
          <w:tcPr>
            <w:tcW w:type="dxa" w:w="1655"/>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4"/>
              </w:rPr>
              <w:t>Strategy Agent</w:t>
            </w:r>
          </w:p>
        </w:tc>
        <w:tc>
          <w:tcPr>
            <w:tcW w:type="dxa" w:w="2015"/>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Design the campaign and funnel.</w:t>
            </w:r>
          </w:p>
        </w:tc>
        <w:tc>
          <w:tcPr>
            <w:tcW w:type="dxa" w:w="194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Goal, audience, capacity, budget, history.</w:t>
            </w:r>
          </w:p>
        </w:tc>
        <w:tc>
          <w:tcPr>
            <w:tcW w:type="dxa" w:w="22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Brief, offer, message, channels, funnel, KPI, assumptions.</w:t>
            </w:r>
          </w:p>
        </w:tc>
        <w:tc>
          <w:tcPr>
            <w:tcW w:type="dxa" w:w="187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Commit ad spend or guarantee results.</w:t>
            </w:r>
          </w:p>
        </w:tc>
      </w:tr>
      <w:tr>
        <w:trPr>
          <w:cantSplit/>
        </w:trPr>
        <w:tc>
          <w:tcPr>
            <w:tcW w:type="dxa" w:w="1655"/>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4"/>
              </w:rPr>
              <w:t>Copy Agent</w:t>
            </w:r>
          </w:p>
        </w:tc>
        <w:tc>
          <w:tcPr>
            <w:tcW w:type="dxa" w:w="2015"/>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Create channel-specific copy and variants.</w:t>
            </w:r>
          </w:p>
        </w:tc>
        <w:tc>
          <w:tcPr>
            <w:tcW w:type="dxa" w:w="194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Approved brief, brand rules, platform constraints.</w:t>
            </w:r>
          </w:p>
        </w:tc>
        <w:tc>
          <w:tcPr>
            <w:tcW w:type="dxa" w:w="223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Hooks, captions, ad copy, email/messages, CTA.</w:t>
            </w:r>
          </w:p>
        </w:tc>
        <w:tc>
          <w:tcPr>
            <w:tcW w:type="dxa" w:w="187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Invent facts, discounts, claims, or testimonials.</w:t>
            </w:r>
          </w:p>
        </w:tc>
      </w:tr>
      <w:tr>
        <w:trPr>
          <w:cantSplit/>
        </w:trPr>
        <w:tc>
          <w:tcPr>
            <w:tcW w:type="dxa" w:w="1655"/>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4"/>
              </w:rPr>
              <w:t>Creative Director</w:t>
            </w:r>
          </w:p>
        </w:tc>
        <w:tc>
          <w:tcPr>
            <w:tcW w:type="dxa" w:w="2015"/>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Plan visual concepts, carousel frames, and video storyboards.</w:t>
            </w:r>
          </w:p>
        </w:tc>
        <w:tc>
          <w:tcPr>
            <w:tcW w:type="dxa" w:w="194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Brief, brand assets, formats, copy.</w:t>
            </w:r>
          </w:p>
        </w:tc>
        <w:tc>
          <w:tcPr>
            <w:tcW w:type="dxa" w:w="22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Creative plan, prompts, templates, shot list.</w:t>
            </w:r>
          </w:p>
        </w:tc>
        <w:tc>
          <w:tcPr>
            <w:tcW w:type="dxa" w:w="187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Approve legal/brand risk.</w:t>
            </w:r>
          </w:p>
        </w:tc>
      </w:tr>
      <w:tr>
        <w:trPr>
          <w:cantSplit/>
        </w:trPr>
        <w:tc>
          <w:tcPr>
            <w:tcW w:type="dxa" w:w="1655"/>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4"/>
              </w:rPr>
              <w:t>Brand + Compliance Reviewer</w:t>
            </w:r>
          </w:p>
        </w:tc>
        <w:tc>
          <w:tcPr>
            <w:tcW w:type="dxa" w:w="2015"/>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Check facts, voice, claims, repetition, policy, and format.</w:t>
            </w:r>
          </w:p>
        </w:tc>
        <w:tc>
          <w:tcPr>
            <w:tcW w:type="dxa" w:w="194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Generated assets, sources, rules.</w:t>
            </w:r>
          </w:p>
        </w:tc>
        <w:tc>
          <w:tcPr>
            <w:tcW w:type="dxa" w:w="223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Pass/fail, issues, risk level, corrections.</w:t>
            </w:r>
          </w:p>
        </w:tc>
        <w:tc>
          <w:tcPr>
            <w:tcW w:type="dxa" w:w="187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Override explicit owner or legal restrictions.</w:t>
            </w:r>
          </w:p>
        </w:tc>
      </w:tr>
      <w:tr>
        <w:trPr>
          <w:cantSplit/>
        </w:trPr>
        <w:tc>
          <w:tcPr>
            <w:tcW w:type="dxa" w:w="1655"/>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4"/>
              </w:rPr>
              <w:t>Lead Concierge</w:t>
            </w:r>
          </w:p>
        </w:tc>
        <w:tc>
          <w:tcPr>
            <w:tcW w:type="dxa" w:w="2015"/>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Continue campaign context in conversations and drive the next action.</w:t>
            </w:r>
          </w:p>
        </w:tc>
        <w:tc>
          <w:tcPr>
            <w:tcW w:type="dxa" w:w="194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Lead source, Business Brain, dialogue, availability.</w:t>
            </w:r>
          </w:p>
        </w:tc>
        <w:tc>
          <w:tcPr>
            <w:tcW w:type="dxa" w:w="22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Reply, qualification update, next action, confidence.</w:t>
            </w:r>
          </w:p>
        </w:tc>
        <w:tc>
          <w:tcPr>
            <w:tcW w:type="dxa" w:w="187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Negotiate beyond rules or send after opt-out.</w:t>
            </w:r>
          </w:p>
        </w:tc>
      </w:tr>
      <w:tr>
        <w:trPr>
          <w:cantSplit/>
        </w:trPr>
        <w:tc>
          <w:tcPr>
            <w:tcW w:type="dxa" w:w="1655"/>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4"/>
              </w:rPr>
              <w:t>Analytics + Experiment Agent</w:t>
            </w:r>
          </w:p>
        </w:tc>
        <w:tc>
          <w:tcPr>
            <w:tcW w:type="dxa" w:w="2015"/>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Explain funnel performance and propose tests.</w:t>
            </w:r>
          </w:p>
        </w:tc>
        <w:tc>
          <w:tcPr>
            <w:tcW w:type="dxa" w:w="194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Events, outcomes, costs, sample size, history.</w:t>
            </w:r>
          </w:p>
        </w:tc>
        <w:tc>
          <w:tcPr>
            <w:tcW w:type="dxa" w:w="223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Finding, evidence, confidence, recommendation, experiment.</w:t>
            </w:r>
          </w:p>
        </w:tc>
        <w:tc>
          <w:tcPr>
            <w:tcW w:type="dxa" w:w="187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4"/>
              </w:rPr>
              <w:t>Claim causality without evidence or change budget directly.</w:t>
            </w:r>
          </w:p>
        </w:tc>
      </w:tr>
    </w:tbl>
    <w:p>
      <w:pPr>
        <w:spacing w:after="20"/>
        <w:widowControl w:val="1"/>
      </w:pPr>
    </w:p>
    <w:p>
      <w:pPr>
        <w:pStyle w:val="Heading2"/>
        <w:keepNext/>
        <w:spacing w:before="160" w:after="80"/>
        <w:widowControl w:val="1"/>
      </w:pPr>
      <w:r>
        <w:rPr>
          <w:rFonts w:ascii="Arial" w:hAnsi="Arial" w:eastAsia="Arial"/>
          <w:b/>
          <w:color w:val="0F766E"/>
          <w:sz w:val="26"/>
        </w:rPr>
        <w:t>Deterministic services</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2664"/>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Service</w:t>
            </w:r>
          </w:p>
        </w:tc>
        <w:tc>
          <w:tcPr>
            <w:tcW w:type="dxa" w:w="7056"/>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Why it must not be an unconstrained agent</w:t>
            </w:r>
          </w:p>
        </w:tc>
      </w:tr>
      <w:tr>
        <w:trPr>
          <w:cantSplit/>
        </w:trPr>
        <w:tc>
          <w:tcPr>
            <w:tcW w:type="dxa" w:w="266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Approval service</w:t>
            </w:r>
          </w:p>
        </w:tc>
        <w:tc>
          <w:tcPr>
            <w:tcW w:type="dxa" w:w="705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Must enforce exact versions, roles, timestamps, comments, and re-approval conditions.</w:t>
            </w:r>
          </w:p>
        </w:tc>
      </w:tr>
      <w:tr>
        <w:trPr>
          <w:cantSplit/>
        </w:trPr>
        <w:tc>
          <w:tcPr>
            <w:tcW w:type="dxa" w:w="266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Scheduler</w:t>
            </w:r>
          </w:p>
        </w:tc>
        <w:tc>
          <w:tcPr>
            <w:tcW w:type="dxa" w:w="705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Must execute at the correct timezone, support idempotency, retries, cancellation, and deterministic state.</w:t>
            </w:r>
          </w:p>
        </w:tc>
      </w:tr>
      <w:tr>
        <w:trPr>
          <w:cantSplit/>
        </w:trPr>
        <w:tc>
          <w:tcPr>
            <w:tcW w:type="dxa" w:w="266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Publisher adapters</w:t>
            </w:r>
          </w:p>
        </w:tc>
        <w:tc>
          <w:tcPr>
            <w:tcW w:type="dxa" w:w="705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Must manage OAuth, tokens, platform constraints, status, retries, and duplicate prevention.</w:t>
            </w:r>
          </w:p>
        </w:tc>
      </w:tr>
      <w:tr>
        <w:trPr>
          <w:cantSplit/>
        </w:trPr>
        <w:tc>
          <w:tcPr>
            <w:tcW w:type="dxa" w:w="266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Budget and policy engine</w:t>
            </w:r>
          </w:p>
        </w:tc>
        <w:tc>
          <w:tcPr>
            <w:tcW w:type="dxa" w:w="705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Must prevent overspend, disallowed claims, excessive messaging, and unapproved actions.</w:t>
            </w:r>
          </w:p>
        </w:tc>
      </w:tr>
      <w:tr>
        <w:trPr>
          <w:cantSplit/>
        </w:trPr>
        <w:tc>
          <w:tcPr>
            <w:tcW w:type="dxa" w:w="266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Consent and messaging engine</w:t>
            </w:r>
          </w:p>
        </w:tc>
        <w:tc>
          <w:tcPr>
            <w:tcW w:type="dxa" w:w="705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Must enforce opt-in, opt-out, channel windows, templates, frequency, and suppression lists.</w:t>
            </w:r>
          </w:p>
        </w:tc>
      </w:tr>
      <w:tr>
        <w:trPr>
          <w:cantSplit/>
        </w:trPr>
        <w:tc>
          <w:tcPr>
            <w:tcW w:type="dxa" w:w="266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Audit log</w:t>
            </w:r>
          </w:p>
        </w:tc>
        <w:tc>
          <w:tcPr>
            <w:tcW w:type="dxa" w:w="705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Must create immutable evidence of who or what changed, approved, published, messaged, or paused an action.</w:t>
            </w:r>
          </w:p>
        </w:tc>
      </w:tr>
    </w:tbl>
    <w:p>
      <w:pPr>
        <w:spacing w:after="20"/>
        <w:widowControl w:val="1"/>
      </w:pPr>
    </w:p>
    <w:p>
      <w:pPr>
        <w:pStyle w:val="Heading2"/>
        <w:keepNext/>
        <w:spacing w:before="160" w:after="80"/>
        <w:widowControl w:val="1"/>
      </w:pPr>
      <w:r>
        <w:rPr>
          <w:rFonts w:ascii="Arial" w:hAnsi="Arial" w:eastAsia="Arial"/>
          <w:b/>
          <w:color w:val="0F766E"/>
          <w:sz w:val="26"/>
        </w:rPr>
        <w:t>Core workflows</w:t>
      </w:r>
    </w:p>
    <w:tbl>
      <w:tblPr>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cantSplit/>
        </w:trPr>
        <w:tc>
          <w:tcPr>
            <w:tcW w:type="dxa" w:w="1655"/>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Workflow</w:t>
            </w:r>
          </w:p>
        </w:tc>
        <w:tc>
          <w:tcPr>
            <w:tcW w:type="dxa" w:w="1944"/>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Agents</w:t>
            </w:r>
          </w:p>
        </w:tc>
        <w:tc>
          <w:tcPr>
            <w:tcW w:type="dxa" w:w="216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Services</w:t>
            </w:r>
          </w:p>
        </w:tc>
        <w:tc>
          <w:tcPr>
            <w:tcW w:type="dxa" w:w="2232"/>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Human checkpoint</w:t>
            </w:r>
          </w:p>
        </w:tc>
        <w:tc>
          <w:tcPr>
            <w:tcW w:type="dxa" w:w="1728"/>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Failure handling</w:t>
            </w:r>
          </w:p>
        </w:tc>
      </w:tr>
      <w:tr>
        <w:trPr>
          <w:cantSplit/>
        </w:trPr>
        <w:tc>
          <w:tcPr>
            <w:tcW w:type="dxa" w:w="1655"/>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Business onboarding</w:t>
            </w:r>
          </w:p>
        </w:tc>
        <w:tc>
          <w:tcPr>
            <w:tcW w:type="dxa" w:w="194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Context Agent</w:t>
            </w:r>
          </w:p>
        </w:tc>
        <w:tc>
          <w:tcPr>
            <w:tcW w:type="dxa" w:w="216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Importer, storage, source tracker</w:t>
            </w:r>
          </w:p>
        </w:tc>
        <w:tc>
          <w:tcPr>
            <w:tcW w:type="dxa" w:w="22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Owner approves facts, prices, claims, restrictions.</w:t>
            </w:r>
          </w:p>
        </w:tc>
        <w:tc>
          <w:tcPr>
            <w:tcW w:type="dxa" w:w="172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Keep uncertainty visible; do not silently guess.</w:t>
            </w:r>
          </w:p>
        </w:tc>
      </w:tr>
      <w:tr>
        <w:trPr>
          <w:cantSplit/>
        </w:trPr>
        <w:tc>
          <w:tcPr>
            <w:tcW w:type="dxa" w:w="1655"/>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Campaign planning</w:t>
            </w:r>
          </w:p>
        </w:tc>
        <w:tc>
          <w:tcPr>
            <w:tcW w:type="dxa" w:w="194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Orchestrator + Strategy</w:t>
            </w:r>
          </w:p>
        </w:tc>
        <w:tc>
          <w:tcPr>
            <w:tcW w:type="dxa" w:w="216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Campaign state, policy engine</w:t>
            </w:r>
          </w:p>
        </w:tc>
        <w:tc>
          <w:tcPr>
            <w:tcW w:type="dxa" w:w="223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Approve strategy, offer, budget, audience.</w:t>
            </w:r>
          </w:p>
        </w:tc>
        <w:tc>
          <w:tcPr>
            <w:tcW w:type="dxa" w:w="172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Return assumptions and alternatives.</w:t>
            </w:r>
          </w:p>
        </w:tc>
      </w:tr>
      <w:tr>
        <w:trPr>
          <w:cantSplit/>
        </w:trPr>
        <w:tc>
          <w:tcPr>
            <w:tcW w:type="dxa" w:w="1655"/>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Content production</w:t>
            </w:r>
          </w:p>
        </w:tc>
        <w:tc>
          <w:tcPr>
            <w:tcW w:type="dxa" w:w="194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Copy + Creative + Reviewer</w:t>
            </w:r>
          </w:p>
        </w:tc>
        <w:tc>
          <w:tcPr>
            <w:tcW w:type="dxa" w:w="216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Template renderer, media store, versioning</w:t>
            </w:r>
          </w:p>
        </w:tc>
        <w:tc>
          <w:tcPr>
            <w:tcW w:type="dxa" w:w="22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Approve campaign bundle or risky assets.</w:t>
            </w:r>
          </w:p>
        </w:tc>
        <w:tc>
          <w:tcPr>
            <w:tcW w:type="dxa" w:w="172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Regenerate only failed assets; keep version history.</w:t>
            </w:r>
          </w:p>
        </w:tc>
      </w:tr>
      <w:tr>
        <w:trPr>
          <w:cantSplit/>
        </w:trPr>
        <w:tc>
          <w:tcPr>
            <w:tcW w:type="dxa" w:w="1655"/>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Scheduling and publishing</w:t>
            </w:r>
          </w:p>
        </w:tc>
        <w:tc>
          <w:tcPr>
            <w:tcW w:type="dxa" w:w="194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Orchestrator monitors only</w:t>
            </w:r>
          </w:p>
        </w:tc>
        <w:tc>
          <w:tcPr>
            <w:tcW w:type="dxa" w:w="216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Approval, scheduler, publisher adapters</w:t>
            </w:r>
          </w:p>
        </w:tc>
        <w:tc>
          <w:tcPr>
            <w:tcW w:type="dxa" w:w="223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No new checkpoint if exact approved version is unchanged.</w:t>
            </w:r>
          </w:p>
        </w:tc>
        <w:tc>
          <w:tcPr>
            <w:tcW w:type="dxa" w:w="172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Retry idempotently; alert; never duplicate.</w:t>
            </w:r>
          </w:p>
        </w:tc>
      </w:tr>
      <w:tr>
        <w:trPr>
          <w:cantSplit/>
        </w:trPr>
        <w:tc>
          <w:tcPr>
            <w:tcW w:type="dxa" w:w="1655"/>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Lead conversion</w:t>
            </w:r>
          </w:p>
        </w:tc>
        <w:tc>
          <w:tcPr>
            <w:tcW w:type="dxa" w:w="194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Lead Concierge + optional scorer</w:t>
            </w:r>
          </w:p>
        </w:tc>
        <w:tc>
          <w:tcPr>
            <w:tcW w:type="dxa" w:w="216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Inbox, calendar, consent, CRM sync</w:t>
            </w:r>
          </w:p>
        </w:tc>
        <w:tc>
          <w:tcPr>
            <w:tcW w:type="dxa" w:w="22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Take over on request, risk, uncertainty, or high value.</w:t>
            </w:r>
          </w:p>
        </w:tc>
        <w:tc>
          <w:tcPr>
            <w:tcW w:type="dxa" w:w="172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Pause automated messages and preserve context.</w:t>
            </w:r>
          </w:p>
        </w:tc>
      </w:tr>
      <w:tr>
        <w:trPr>
          <w:cantSplit/>
        </w:trPr>
        <w:tc>
          <w:tcPr>
            <w:tcW w:type="dxa" w:w="1655"/>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Weekly learning</w:t>
            </w:r>
          </w:p>
        </w:tc>
        <w:tc>
          <w:tcPr>
            <w:tcW w:type="dxa" w:w="194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Analytics + Experiment</w:t>
            </w:r>
          </w:p>
        </w:tc>
        <w:tc>
          <w:tcPr>
            <w:tcW w:type="dxa" w:w="216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Event warehouse, attribution rules</w:t>
            </w:r>
          </w:p>
        </w:tc>
        <w:tc>
          <w:tcPr>
            <w:tcW w:type="dxa" w:w="223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Approve major campaign or budget change.</w:t>
            </w:r>
          </w:p>
        </w:tc>
        <w:tc>
          <w:tcPr>
            <w:tcW w:type="dxa" w:w="172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Show confidence and data gaps.</w:t>
            </w:r>
          </w:p>
        </w:tc>
      </w:tr>
    </w:tbl>
    <w:p>
      <w:pPr>
        <w:spacing w:after="20"/>
        <w:widowControl w:val="1"/>
      </w:pPr>
    </w:p>
    <w:tbl>
      <w:tblPr>
        <w:tblW w:type="auto" w:w="0"/>
        <w:jc w:val="center"/>
        <w:tblLayout w:type="fixed"/>
        <w:tblLook w:firstColumn="1" w:firstRow="1" w:lastColumn="0" w:lastRow="0" w:noHBand="0" w:noVBand="1" w:val="04A0"/>
      </w:tblPr>
      <w:tblGrid>
        <w:gridCol w:w="9835"/>
      </w:tblGrid>
      <w:tr>
        <w:trPr>
          <w:cantSplit/>
        </w:trPr>
        <w:tc>
          <w:tcPr>
            <w:tcW w:type="dxa" w:w="9720"/>
            <w:shd w:fill="EDE9FE"/>
            <w:tcMar>
              <w:top w:w="120" w:type="dxa"/>
              <w:start w:w="150" w:type="dxa"/>
              <w:bottom w:w="120" w:type="dxa"/>
              <w:end w:w="150" w:type="dxa"/>
            </w:tcMar>
            <w:tcBorders>
              <w:top w:val="nil"/>
              <w:start w:val="single" w:sz="18" w:color="6D28D9"/>
              <w:bottom w:val="nil"/>
              <w:end w:val="nil"/>
            </w:tcBorders>
          </w:tcPr>
          <w:p>
            <w:pPr>
              <w:spacing w:after="60"/>
            </w:pPr>
            <w:r>
              <w:rPr>
                <w:rFonts w:ascii="Arial" w:hAnsi="Arial" w:eastAsia="Arial"/>
                <w:b/>
                <w:color w:val="6D28D9"/>
                <w:sz w:val="21"/>
              </w:rPr>
              <w:t>Model-routing principle</w:t>
            </w:r>
          </w:p>
          <w:p>
            <w:pPr>
              <w:spacing w:after="0"/>
            </w:pPr>
            <w:r>
              <w:rPr>
                <w:rFonts w:ascii="Arial" w:hAnsi="Arial" w:eastAsia="Arial"/>
                <w:color w:val="0F172A"/>
                <w:sz w:val="19"/>
              </w:rPr>
              <w:t>Use GPT-5.6 Sol for high-stakes strategy, architecture, complex reviews, and difficult exceptions. Use lower-cost models for high-volume variants, classification, formatting, and routine QA. Model choice should be configurable and evaluated—not hard-coded throughout the product.</w:t>
            </w:r>
          </w:p>
        </w:tc>
      </w:tr>
    </w:tbl>
    <w:p>
      <w:pPr>
        <w:spacing w:after="20"/>
        <w:widowControl w:val="1"/>
      </w:pPr>
    </w:p>
    <w:p>
      <w:pPr>
        <w:keepNext/>
        <w:spacing w:before="0" w:after="100"/>
        <w:widowControl w:val="1"/>
      </w:pPr>
      <w:r>
        <w:rPr>
          <w:rFonts w:ascii="Arial" w:hAnsi="Arial" w:eastAsia="Arial"/>
          <w:b/>
          <w:color w:val="0F172A"/>
          <w:sz w:val="38"/>
        </w:rPr>
        <w:t>7  Technical architecture and build plan</w:t>
      </w:r>
    </w:p>
    <w:p>
      <w:pPr>
        <w:keepNext/>
        <w:spacing w:after="160"/>
        <w:widowControl w:val="1"/>
      </w:pPr>
      <w:r>
        <w:rPr>
          <w:rFonts w:ascii="Arial" w:hAnsi="Arial" w:eastAsia="Arial"/>
          <w:color w:val="0F766E"/>
          <w:sz w:val="14"/>
        </w:rPr>
        <w:t>━━━━━━━━━━━━━━━━━━━━━━━━━━━━━━━━━━━━━━━━</w:t>
      </w:r>
    </w:p>
    <w:p>
      <w:pPr>
        <w:keepNext/>
        <w:spacing w:after="160"/>
        <w:widowControl w:val="1"/>
      </w:pPr>
      <w:r>
        <w:rPr>
          <w:rFonts w:ascii="Arial" w:hAnsi="Arial" w:eastAsia="Arial"/>
          <w:i/>
          <w:color w:val="64748B"/>
          <w:sz w:val="20"/>
        </w:rPr>
        <w:t>Start modular and reliable. Avoid microservices before there is a real scaling or isolation need.</w:t>
      </w:r>
    </w:p>
    <w:p>
      <w:pPr>
        <w:pStyle w:val="Heading2"/>
        <w:keepNext/>
        <w:spacing w:before="160" w:after="80"/>
        <w:widowControl w:val="1"/>
      </w:pPr>
      <w:r>
        <w:rPr>
          <w:rFonts w:ascii="Arial" w:hAnsi="Arial" w:eastAsia="Arial"/>
          <w:b/>
          <w:color w:val="0F766E"/>
          <w:sz w:val="26"/>
        </w:rPr>
        <w:t>Recommended architecture</w:t>
      </w:r>
    </w:p>
    <w:tbl>
      <w:tblPr>
        <w:tblW w:type="auto" w:w="0"/>
        <w:jc w:val="center"/>
        <w:tblLayout w:type="fixed"/>
        <w:tblLook w:firstColumn="1" w:firstRow="1" w:lastColumn="0" w:lastRow="0" w:noHBand="0" w:noVBand="1" w:val="04A0"/>
      </w:tblPr>
      <w:tblGrid>
        <w:gridCol w:w="9835"/>
      </w:tblGrid>
      <w:tr>
        <w:trPr>
          <w:cantSplit/>
        </w:trPr>
        <w:tc>
          <w:tcPr>
            <w:tcW w:type="dxa" w:w="9720"/>
            <w:shd w:fill="F1F5F9"/>
            <w:tcBorders>
              <w:top w:val="single" w:sz="6" w:color="CBD5E1"/>
              <w:start w:val="single" w:sz="6" w:color="CBD5E1"/>
              <w:bottom w:val="single" w:sz="6" w:color="CBD5E1"/>
              <w:end w:val="single" w:sz="6" w:color="CBD5E1"/>
            </w:tcBorders>
            <w:tcMar>
              <w:top w:w="100" w:type="dxa"/>
              <w:start w:w="130" w:type="dxa"/>
              <w:bottom w:w="100" w:type="dxa"/>
              <w:end w:w="130" w:type="dxa"/>
            </w:tcMar>
          </w:tcPr>
          <w:p>
            <w:pPr>
              <w:spacing w:after="0"/>
            </w:pPr>
            <w:r>
              <w:rPr>
                <w:rFonts w:ascii="Courier New" w:hAnsi="Courier New" w:eastAsia="Courier New"/>
                <w:color w:val="1E293B"/>
                <w:sz w:val="17"/>
              </w:rPr>
              <w:t>Web application (Next.js + TypeScript)</w:t>
            </w:r>
            <w:r>
              <w:br/>
            </w:r>
            <w:r>
              <w:rPr>
                <w:rFonts w:ascii="Courier New" w:hAnsi="Courier New" w:eastAsia="Courier New"/>
                <w:color w:val="1E293B"/>
                <w:sz w:val="17"/>
              </w:rPr>
              <w:t xml:space="preserve">        │</w:t>
            </w:r>
            <w:r>
              <w:br/>
            </w:r>
            <w:r>
              <w:rPr>
                <w:rFonts w:ascii="Courier New" w:hAnsi="Courier New" w:eastAsia="Courier New"/>
                <w:color w:val="1E293B"/>
                <w:sz w:val="17"/>
              </w:rPr>
              <w:t xml:space="preserve">        ├── Product API / domain services</w:t>
            </w:r>
            <w:r>
              <w:br/>
            </w:r>
            <w:r>
              <w:rPr>
                <w:rFonts w:ascii="Courier New" w:hAnsi="Courier New" w:eastAsia="Courier New"/>
                <w:color w:val="1E293B"/>
                <w:sz w:val="17"/>
              </w:rPr>
              <w:t xml:space="preserve">        │      ├── Business Brain</w:t>
            </w:r>
            <w:r>
              <w:br/>
            </w:r>
            <w:r>
              <w:rPr>
                <w:rFonts w:ascii="Courier New" w:hAnsi="Courier New" w:eastAsia="Courier New"/>
                <w:color w:val="1E293B"/>
                <w:sz w:val="17"/>
              </w:rPr>
              <w:t xml:space="preserve">        │      ├── Campaigns + content versions</w:t>
            </w:r>
            <w:r>
              <w:br/>
            </w:r>
            <w:r>
              <w:rPr>
                <w:rFonts w:ascii="Courier New" w:hAnsi="Courier New" w:eastAsia="Courier New"/>
                <w:color w:val="1E293B"/>
                <w:sz w:val="17"/>
              </w:rPr>
              <w:t xml:space="preserve">        │      ├── Approvals + policies</w:t>
            </w:r>
            <w:r>
              <w:br/>
            </w:r>
            <w:r>
              <w:rPr>
                <w:rFonts w:ascii="Courier New" w:hAnsi="Courier New" w:eastAsia="Courier New"/>
                <w:color w:val="1E293B"/>
                <w:sz w:val="17"/>
              </w:rPr>
              <w:t xml:space="preserve">        │      ├── Leads + conversations + bookings</w:t>
            </w:r>
            <w:r>
              <w:br/>
            </w:r>
            <w:r>
              <w:rPr>
                <w:rFonts w:ascii="Courier New" w:hAnsi="Courier New" w:eastAsia="Courier New"/>
                <w:color w:val="1E293B"/>
                <w:sz w:val="17"/>
              </w:rPr>
              <w:t xml:space="preserve">        │      └── Analytics + experiments</w:t>
            </w:r>
            <w:r>
              <w:br/>
            </w:r>
            <w:r>
              <w:rPr>
                <w:rFonts w:ascii="Courier New" w:hAnsi="Courier New" w:eastAsia="Courier New"/>
                <w:color w:val="1E293B"/>
                <w:sz w:val="17"/>
              </w:rPr>
              <w:t xml:space="preserve">        │</w:t>
            </w:r>
            <w:r>
              <w:br/>
            </w:r>
            <w:r>
              <w:rPr>
                <w:rFonts w:ascii="Courier New" w:hAnsi="Courier New" w:eastAsia="Courier New"/>
                <w:color w:val="1E293B"/>
                <w:sz w:val="17"/>
              </w:rPr>
              <w:t xml:space="preserve">        ├── Agent orchestration layer</w:t>
            </w:r>
            <w:r>
              <w:br/>
            </w:r>
            <w:r>
              <w:rPr>
                <w:rFonts w:ascii="Courier New" w:hAnsi="Courier New" w:eastAsia="Courier New"/>
                <w:color w:val="1E293B"/>
                <w:sz w:val="17"/>
              </w:rPr>
              <w:t xml:space="preserve">        │      ├── OpenAI Responses / Agents SDK</w:t>
            </w:r>
            <w:r>
              <w:br/>
            </w:r>
            <w:r>
              <w:rPr>
                <w:rFonts w:ascii="Courier New" w:hAnsi="Courier New" w:eastAsia="Courier New"/>
                <w:color w:val="1E293B"/>
                <w:sz w:val="17"/>
              </w:rPr>
              <w:t xml:space="preserve">        │      ├── model router + structured outputs</w:t>
            </w:r>
            <w:r>
              <w:br/>
            </w:r>
            <w:r>
              <w:rPr>
                <w:rFonts w:ascii="Courier New" w:hAnsi="Courier New" w:eastAsia="Courier New"/>
                <w:color w:val="1E293B"/>
                <w:sz w:val="17"/>
              </w:rPr>
              <w:t xml:space="preserve">        │      └── traces, evaluations, guardrails</w:t>
            </w:r>
            <w:r>
              <w:br/>
            </w:r>
            <w:r>
              <w:rPr>
                <w:rFonts w:ascii="Courier New" w:hAnsi="Courier New" w:eastAsia="Courier New"/>
                <w:color w:val="1E293B"/>
                <w:sz w:val="17"/>
              </w:rPr>
              <w:t xml:space="preserve">        │</w:t>
            </w:r>
            <w:r>
              <w:br/>
            </w:r>
            <w:r>
              <w:rPr>
                <w:rFonts w:ascii="Courier New" w:hAnsi="Courier New" w:eastAsia="Courier New"/>
                <w:color w:val="1E293B"/>
                <w:sz w:val="17"/>
              </w:rPr>
              <w:t xml:space="preserve">        ├── Durable jobs / workflow engine</w:t>
            </w:r>
            <w:r>
              <w:br/>
            </w:r>
            <w:r>
              <w:rPr>
                <w:rFonts w:ascii="Courier New" w:hAnsi="Courier New" w:eastAsia="Courier New"/>
                <w:color w:val="1E293B"/>
                <w:sz w:val="17"/>
              </w:rPr>
              <w:t xml:space="preserve">        │      ├── generation jobs</w:t>
            </w:r>
            <w:r>
              <w:br/>
            </w:r>
            <w:r>
              <w:rPr>
                <w:rFonts w:ascii="Courier New" w:hAnsi="Courier New" w:eastAsia="Courier New"/>
                <w:color w:val="1E293B"/>
                <w:sz w:val="17"/>
              </w:rPr>
              <w:t xml:space="preserve">        │      ├── scheduled publishing</w:t>
            </w:r>
            <w:r>
              <w:br/>
            </w:r>
            <w:r>
              <w:rPr>
                <w:rFonts w:ascii="Courier New" w:hAnsi="Courier New" w:eastAsia="Courier New"/>
                <w:color w:val="1E293B"/>
                <w:sz w:val="17"/>
              </w:rPr>
              <w:t xml:space="preserve">        │      ├── retries + webhooks</w:t>
            </w:r>
            <w:r>
              <w:br/>
            </w:r>
            <w:r>
              <w:rPr>
                <w:rFonts w:ascii="Courier New" w:hAnsi="Courier New" w:eastAsia="Courier New"/>
                <w:color w:val="1E293B"/>
                <w:sz w:val="17"/>
              </w:rPr>
              <w:t xml:space="preserve">        │      └── analytics sync + weekly reports</w:t>
            </w:r>
            <w:r>
              <w:br/>
            </w:r>
            <w:r>
              <w:rPr>
                <w:rFonts w:ascii="Courier New" w:hAnsi="Courier New" w:eastAsia="Courier New"/>
                <w:color w:val="1E293B"/>
                <w:sz w:val="17"/>
              </w:rPr>
              <w:t xml:space="preserve">        │</w:t>
            </w:r>
            <w:r>
              <w:br/>
            </w:r>
            <w:r>
              <w:rPr>
                <w:rFonts w:ascii="Courier New" w:hAnsi="Courier New" w:eastAsia="Courier New"/>
                <w:color w:val="1E293B"/>
                <w:sz w:val="17"/>
              </w:rPr>
              <w:t xml:space="preserve">        ├── Integration adapters</w:t>
            </w:r>
            <w:r>
              <w:br/>
            </w:r>
            <w:r>
              <w:rPr>
                <w:rFonts w:ascii="Courier New" w:hAnsi="Courier New" w:eastAsia="Courier New"/>
                <w:color w:val="1E293B"/>
                <w:sz w:val="17"/>
              </w:rPr>
              <w:t xml:space="preserve">        │      ├── social publisher (unified provider first)</w:t>
            </w:r>
            <w:r>
              <w:br/>
            </w:r>
            <w:r>
              <w:rPr>
                <w:rFonts w:ascii="Courier New" w:hAnsi="Courier New" w:eastAsia="Courier New"/>
                <w:color w:val="1E293B"/>
                <w:sz w:val="17"/>
              </w:rPr>
              <w:t xml:space="preserve">        │      ├── Meta / WhatsApp / email / calendar</w:t>
            </w:r>
            <w:r>
              <w:br/>
            </w:r>
            <w:r>
              <w:rPr>
                <w:rFonts w:ascii="Courier New" w:hAnsi="Courier New" w:eastAsia="Courier New"/>
                <w:color w:val="1E293B"/>
                <w:sz w:val="17"/>
              </w:rPr>
              <w:t xml:space="preserve">        │      └── CRM and payment integrations later</w:t>
            </w:r>
            <w:r>
              <w:br/>
            </w:r>
            <w:r>
              <w:rPr>
                <w:rFonts w:ascii="Courier New" w:hAnsi="Courier New" w:eastAsia="Courier New"/>
                <w:color w:val="1E293B"/>
                <w:sz w:val="17"/>
              </w:rPr>
              <w:t xml:space="preserve">        │</w:t>
            </w:r>
            <w:r>
              <w:br/>
            </w:r>
            <w:r>
              <w:rPr>
                <w:rFonts w:ascii="Courier New" w:hAnsi="Courier New" w:eastAsia="Courier New"/>
                <w:color w:val="1E293B"/>
                <w:sz w:val="17"/>
              </w:rPr>
              <w:t xml:space="preserve">        └── Data layer</w:t>
            </w:r>
            <w:r>
              <w:br/>
            </w:r>
            <w:r>
              <w:rPr>
                <w:rFonts w:ascii="Courier New" w:hAnsi="Courier New" w:eastAsia="Courier New"/>
                <w:color w:val="1E293B"/>
                <w:sz w:val="17"/>
              </w:rPr>
              <w:t xml:space="preserve">               ├── PostgreSQL + pgvector</w:t>
            </w:r>
            <w:r>
              <w:br/>
            </w:r>
            <w:r>
              <w:rPr>
                <w:rFonts w:ascii="Courier New" w:hAnsi="Courier New" w:eastAsia="Courier New"/>
                <w:color w:val="1E293B"/>
                <w:sz w:val="17"/>
              </w:rPr>
              <w:t xml:space="preserve">               ├── object storage (S3/R2)</w:t>
            </w:r>
            <w:r>
              <w:br/>
            </w:r>
            <w:r>
              <w:rPr>
                <w:rFonts w:ascii="Courier New" w:hAnsi="Courier New" w:eastAsia="Courier New"/>
                <w:color w:val="1E293B"/>
                <w:sz w:val="17"/>
              </w:rPr>
              <w:t xml:space="preserve">               ├── event analytics</w:t>
            </w:r>
            <w:r>
              <w:br/>
            </w:r>
            <w:r>
              <w:rPr>
                <w:rFonts w:ascii="Courier New" w:hAnsi="Courier New" w:eastAsia="Courier New"/>
                <w:color w:val="1E293B"/>
                <w:sz w:val="17"/>
              </w:rPr>
              <w:t xml:space="preserve">               └── secrets + audit logs</w:t>
            </w:r>
          </w:p>
        </w:tc>
      </w:tr>
    </w:tbl>
    <w:p>
      <w:pPr>
        <w:spacing w:after="20"/>
        <w:widowControl w:val="1"/>
      </w:pPr>
    </w:p>
    <w:p>
      <w:pPr>
        <w:pStyle w:val="Heading2"/>
        <w:keepNext/>
        <w:spacing w:before="160" w:after="80"/>
        <w:widowControl w:val="1"/>
      </w:pPr>
      <w:r>
        <w:rPr>
          <w:rFonts w:ascii="Arial" w:hAnsi="Arial" w:eastAsia="Arial"/>
          <w:b/>
          <w:color w:val="0F766E"/>
          <w:sz w:val="26"/>
        </w:rPr>
        <w:t>Pragmatic technology stack</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Layer</w:t>
            </w:r>
          </w:p>
        </w:tc>
        <w:tc>
          <w:tcPr>
            <w:tcW w:type="dxa" w:w="4104"/>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Recommended starting choice</w:t>
            </w:r>
          </w:p>
        </w:tc>
        <w:tc>
          <w:tcPr>
            <w:tcW w:type="dxa" w:w="3816"/>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Reason / alternative</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Frontend</w:t>
            </w:r>
          </w:p>
        </w:tc>
        <w:tc>
          <w:tcPr>
            <w:tcW w:type="dxa" w:w="410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Next.js + TypeScript + Tailwind + accessible component library</w:t>
            </w:r>
          </w:p>
        </w:tc>
        <w:tc>
          <w:tcPr>
            <w:tcW w:type="dxa" w:w="381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Fast SaaS delivery, server/client integration, strong ecosystem.</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Backend</w:t>
            </w:r>
          </w:p>
        </w:tc>
        <w:tc>
          <w:tcPr>
            <w:tcW w:type="dxa" w:w="410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Modular TypeScript domain services in the same repository</w:t>
            </w:r>
          </w:p>
        </w:tc>
        <w:tc>
          <w:tcPr>
            <w:tcW w:type="dxa" w:w="381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Begin as a modular monolith; split workers/services only when justified.</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Database</w:t>
            </w:r>
          </w:p>
        </w:tc>
        <w:tc>
          <w:tcPr>
            <w:tcW w:type="dxa" w:w="410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PostgreSQL + pgvector</w:t>
            </w:r>
          </w:p>
        </w:tc>
        <w:tc>
          <w:tcPr>
            <w:tcW w:type="dxa" w:w="381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Transactions, relational funnel data, search, and vector retrieval in one system.</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Auth + tenancy</w:t>
            </w:r>
          </w:p>
        </w:tc>
        <w:tc>
          <w:tcPr>
            <w:tcW w:type="dxa" w:w="410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Managed auth with organization/workspace model</w:t>
            </w:r>
          </w:p>
        </w:tc>
        <w:tc>
          <w:tcPr>
            <w:tcW w:type="dxa" w:w="381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Do not build passwords; enforce tenant ID on every record and query.</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Agent runtime</w:t>
            </w:r>
          </w:p>
        </w:tc>
        <w:tc>
          <w:tcPr>
            <w:tcW w:type="dxa" w:w="410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OpenAI Responses API + Agents SDK or a thin custom orchestrator</w:t>
            </w:r>
          </w:p>
        </w:tc>
        <w:tc>
          <w:tcPr>
            <w:tcW w:type="dxa" w:w="381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Structured tools, handoffs, sessions, guardrails, and traces; keep domain state outside prompts.</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Workflow jobs</w:t>
            </w:r>
          </w:p>
        </w:tc>
        <w:tc>
          <w:tcPr>
            <w:tcW w:type="dxa" w:w="410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Trigger.dev or another durable job system; BullMQ for self-hosted queues</w:t>
            </w:r>
          </w:p>
        </w:tc>
        <w:tc>
          <w:tcPr>
            <w:tcW w:type="dxa" w:w="381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Scheduling, retries, long generation tasks, webhooks, and observability. Consider Temporal later.</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Media</w:t>
            </w:r>
          </w:p>
        </w:tc>
        <w:tc>
          <w:tcPr>
            <w:tcW w:type="dxa" w:w="410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GPT Image 2 + deterministic HTML/SVG templates + Sharp; Remotion/FFmpeg for video</w:t>
            </w:r>
          </w:p>
        </w:tc>
        <w:tc>
          <w:tcPr>
            <w:tcW w:type="dxa" w:w="381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AI creates concepts and raw visuals; templates guarantee exact text, brand, size, and logos.</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Storage</w:t>
            </w:r>
          </w:p>
        </w:tc>
        <w:tc>
          <w:tcPr>
            <w:tcW w:type="dxa" w:w="410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Cloudflare R2 or Amazon S3</w:t>
            </w:r>
          </w:p>
        </w:tc>
        <w:tc>
          <w:tcPr>
            <w:tcW w:type="dxa" w:w="381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Durable media storage, signed access, lifecycle rules.</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Publishing</w:t>
            </w:r>
          </w:p>
        </w:tc>
        <w:tc>
          <w:tcPr>
            <w:tcW w:type="dxa" w:w="410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Provider adapter; use a unified social API for MVP, direct Meta APIs where strategically important</w:t>
            </w:r>
          </w:p>
        </w:tc>
        <w:tc>
          <w:tcPr>
            <w:tcW w:type="dxa" w:w="381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Faster launch while preserving a route to direct integrations.</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Messaging</w:t>
            </w:r>
          </w:p>
        </w:tc>
        <w:tc>
          <w:tcPr>
            <w:tcW w:type="dxa" w:w="410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WhatsApp Cloud API, email provider, in-app inbox</w:t>
            </w:r>
          </w:p>
        </w:tc>
        <w:tc>
          <w:tcPr>
            <w:tcW w:type="dxa" w:w="381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Policy-aware business messaging and lead conversion.</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Analytics</w:t>
            </w:r>
          </w:p>
        </w:tc>
        <w:tc>
          <w:tcPr>
            <w:tcW w:type="dxa" w:w="410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Product events + warehouse-ready schema; PostHog initially</w:t>
            </w:r>
          </w:p>
        </w:tc>
        <w:tc>
          <w:tcPr>
            <w:tcW w:type="dxa" w:w="381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Instrument the funnel from day one; add ClickHouse/warehouse when volume requires.</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Observability</w:t>
            </w:r>
          </w:p>
        </w:tc>
        <w:tc>
          <w:tcPr>
            <w:tcW w:type="dxa" w:w="410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Sentry + structured logs + OpenTelemetry-style traces</w:t>
            </w:r>
          </w:p>
        </w:tc>
        <w:tc>
          <w:tcPr>
            <w:tcW w:type="dxa" w:w="381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Publishing, messaging, and AI failures must be diagnosable.</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Billing</w:t>
            </w:r>
          </w:p>
        </w:tc>
        <w:tc>
          <w:tcPr>
            <w:tcW w:type="dxa" w:w="410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Stripe or locally suitable billing provider</w:t>
            </w:r>
          </w:p>
        </w:tc>
        <w:tc>
          <w:tcPr>
            <w:tcW w:type="dxa" w:w="381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Subscription, onboarding, usage, and later outcome-linked charges.</w:t>
            </w:r>
          </w:p>
        </w:tc>
      </w:tr>
    </w:tbl>
    <w:p>
      <w:pPr>
        <w:spacing w:after="20"/>
        <w:widowControl w:val="1"/>
      </w:pPr>
    </w:p>
    <w:p>
      <w:pPr>
        <w:pStyle w:val="Heading2"/>
        <w:keepNext/>
        <w:spacing w:before="160" w:after="80"/>
        <w:widowControl w:val="1"/>
      </w:pPr>
      <w:r>
        <w:rPr>
          <w:rFonts w:ascii="Arial" w:hAnsi="Arial" w:eastAsia="Arial"/>
          <w:b/>
          <w:color w:val="0F766E"/>
          <w:sz w:val="26"/>
        </w:rPr>
        <w:t>Content creation pipeline</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180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Step</w:t>
            </w:r>
          </w:p>
        </w:tc>
        <w:tc>
          <w:tcPr>
            <w:tcW w:type="dxa" w:w="792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Implementation</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Brief</w:t>
            </w:r>
          </w:p>
        </w:tc>
        <w:tc>
          <w:tcPr>
            <w:tcW w:type="dxa" w:w="792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Strategy Agent returns a typed campaign brief with goal, audience, offer, proof, objections, channels, KPI, and restrictions.</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Copy</w:t>
            </w:r>
          </w:p>
        </w:tc>
        <w:tc>
          <w:tcPr>
            <w:tcW w:type="dxa" w:w="792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Generate one canonical message hierarchy, then channel-specific variants. Store prompt, model, source facts, and output version.</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Visuals</w:t>
            </w:r>
          </w:p>
        </w:tc>
        <w:tc>
          <w:tcPr>
            <w:tcW w:type="dxa" w:w="792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Generate background/illustration concepts; apply text, pricing, CTA, logo, and layout with deterministic templates.</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Carousels</w:t>
            </w:r>
          </w:p>
        </w:tc>
        <w:tc>
          <w:tcPr>
            <w:tcW w:type="dxa" w:w="792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Render React/HTML/SVG templates to images; validate contrast, safe zones, text length, and dimensions.</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Video</w:t>
            </w:r>
          </w:p>
        </w:tc>
        <w:tc>
          <w:tcPr>
            <w:tcW w:type="dxa" w:w="792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Create script, storyboard, scenes, voice-over, subtitles, and CTA; assemble with Remotion/FFmpeg.</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QA</w:t>
            </w:r>
          </w:p>
        </w:tc>
        <w:tc>
          <w:tcPr>
            <w:tcW w:type="dxa" w:w="792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Run fact, brand, spelling, duplicate, claim, accessibility, and platform-format checks.</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Preview</w:t>
            </w:r>
          </w:p>
        </w:tc>
        <w:tc>
          <w:tcPr>
            <w:tcW w:type="dxa" w:w="792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Show exact platform preview and differences between revisions.</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Approval</w:t>
            </w:r>
          </w:p>
        </w:tc>
        <w:tc>
          <w:tcPr>
            <w:tcW w:type="dxa" w:w="792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Hash or otherwise identify the exact approved content and media version.</w:t>
            </w:r>
          </w:p>
        </w:tc>
      </w:tr>
    </w:tbl>
    <w:p>
      <w:pPr>
        <w:spacing w:after="20"/>
        <w:widowControl w:val="1"/>
      </w:pPr>
    </w:p>
    <w:p>
      <w:pPr>
        <w:pStyle w:val="Heading2"/>
        <w:keepNext/>
        <w:spacing w:before="160" w:after="80"/>
        <w:widowControl w:val="1"/>
      </w:pPr>
      <w:r>
        <w:rPr>
          <w:rFonts w:ascii="Arial" w:hAnsi="Arial" w:eastAsia="Arial"/>
          <w:b/>
          <w:color w:val="0F766E"/>
          <w:sz w:val="26"/>
        </w:rPr>
        <w:t>Scheduling and publishing pipeline</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2088"/>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State</w:t>
            </w:r>
          </w:p>
        </w:tc>
        <w:tc>
          <w:tcPr>
            <w:tcW w:type="dxa" w:w="7632"/>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Required behavior</w:t>
            </w:r>
          </w:p>
        </w:tc>
      </w:tr>
      <w:tr>
        <w:trPr>
          <w:cantSplit/>
        </w:trPr>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Draft</w:t>
            </w:r>
          </w:p>
        </w:tc>
        <w:tc>
          <w:tcPr>
            <w:tcW w:type="dxa" w:w="76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Editable; never publishable.</w:t>
            </w:r>
          </w:p>
        </w:tc>
      </w:tr>
      <w:tr>
        <w:trPr>
          <w:cantSplit/>
        </w:trPr>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Ready for approval</w:t>
            </w:r>
          </w:p>
        </w:tc>
        <w:tc>
          <w:tcPr>
            <w:tcW w:type="dxa" w:w="763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All mandatory QA checks complete; unresolved risks displayed.</w:t>
            </w:r>
          </w:p>
        </w:tc>
      </w:tr>
      <w:tr>
        <w:trPr>
          <w:cantSplit/>
        </w:trPr>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Approved</w:t>
            </w:r>
          </w:p>
        </w:tc>
        <w:tc>
          <w:tcPr>
            <w:tcW w:type="dxa" w:w="76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Exact version locked; any material edit creates a new approval state.</w:t>
            </w:r>
          </w:p>
        </w:tc>
      </w:tr>
      <w:tr>
        <w:trPr>
          <w:cantSplit/>
        </w:trPr>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Scheduled</w:t>
            </w:r>
          </w:p>
        </w:tc>
        <w:tc>
          <w:tcPr>
            <w:tcW w:type="dxa" w:w="763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Channel, account, timezone, time, version, and idempotency key recorded.</w:t>
            </w:r>
          </w:p>
        </w:tc>
      </w:tr>
      <w:tr>
        <w:trPr>
          <w:cantSplit/>
        </w:trPr>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Publishing</w:t>
            </w:r>
          </w:p>
        </w:tc>
        <w:tc>
          <w:tcPr>
            <w:tcW w:type="dxa" w:w="76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Adapter validates token and media, then sends once.</w:t>
            </w:r>
          </w:p>
        </w:tc>
      </w:tr>
      <w:tr>
        <w:trPr>
          <w:cantSplit/>
        </w:trPr>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Published</w:t>
            </w:r>
          </w:p>
        </w:tc>
        <w:tc>
          <w:tcPr>
            <w:tcW w:type="dxa" w:w="763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Store platform ID, final payload, publish timestamp, and URL where available.</w:t>
            </w:r>
          </w:p>
        </w:tc>
      </w:tr>
      <w:tr>
        <w:trPr>
          <w:cantSplit/>
        </w:trPr>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Failed</w:t>
            </w:r>
          </w:p>
        </w:tc>
        <w:tc>
          <w:tcPr>
            <w:tcW w:type="dxa" w:w="76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Classify retryable vs permanent; retry with backoff; alert; prevent duplicates.</w:t>
            </w:r>
          </w:p>
        </w:tc>
      </w:tr>
      <w:tr>
        <w:trPr>
          <w:cantSplit/>
        </w:trPr>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Cancelled / paused</w:t>
            </w:r>
          </w:p>
        </w:tc>
        <w:tc>
          <w:tcPr>
            <w:tcW w:type="dxa" w:w="763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No future publish; audit actor, reason, and timestamp.</w:t>
            </w:r>
          </w:p>
        </w:tc>
      </w:tr>
    </w:tbl>
    <w:p>
      <w:pPr>
        <w:spacing w:after="20"/>
        <w:widowControl w:val="1"/>
      </w:pPr>
    </w:p>
    <w:p>
      <w:pPr>
        <w:pStyle w:val="Heading2"/>
        <w:keepNext/>
        <w:spacing w:before="160" w:after="80"/>
        <w:widowControl w:val="1"/>
      </w:pPr>
      <w:r>
        <w:rPr>
          <w:rFonts w:ascii="Arial" w:hAnsi="Arial" w:eastAsia="Arial"/>
          <w:b/>
          <w:color w:val="0F766E"/>
          <w:sz w:val="26"/>
        </w:rPr>
        <w:t>Core data entities</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2232"/>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Entity group</w:t>
            </w:r>
          </w:p>
        </w:tc>
        <w:tc>
          <w:tcPr>
            <w:tcW w:type="dxa" w:w="7488"/>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Important records</w:t>
            </w:r>
          </w:p>
        </w:tc>
      </w:tr>
      <w:tr>
        <w:trPr>
          <w:cantSplit/>
        </w:trPr>
        <w:tc>
          <w:tcPr>
            <w:tcW w:type="dxa" w:w="22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Identity + tenancy</w:t>
            </w:r>
          </w:p>
        </w:tc>
        <w:tc>
          <w:tcPr>
            <w:tcW w:type="dxa" w:w="74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User, Organization, Workspace, Membership, Role, IntegrationCredential</w:t>
            </w:r>
          </w:p>
        </w:tc>
      </w:tr>
      <w:tr>
        <w:trPr>
          <w:cantSplit/>
        </w:trPr>
        <w:tc>
          <w:tcPr>
            <w:tcW w:type="dxa" w:w="223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Business knowledge</w:t>
            </w:r>
          </w:p>
        </w:tc>
        <w:tc>
          <w:tcPr>
            <w:tcW w:type="dxa" w:w="74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BusinessProfile, Fact, Source, BrandRule, Offer, Audience, FAQ, ClaimPolicy, Asset</w:t>
            </w:r>
          </w:p>
        </w:tc>
      </w:tr>
      <w:tr>
        <w:trPr>
          <w:cantSplit/>
        </w:trPr>
        <w:tc>
          <w:tcPr>
            <w:tcW w:type="dxa" w:w="22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Campaign</w:t>
            </w:r>
          </w:p>
        </w:tc>
        <w:tc>
          <w:tcPr>
            <w:tcW w:type="dxa" w:w="74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Campaign, BriefVersion, AudienceVersion, OfferVersion, KPI, BudgetPolicy, Experiment</w:t>
            </w:r>
          </w:p>
        </w:tc>
      </w:tr>
      <w:tr>
        <w:trPr>
          <w:cantSplit/>
        </w:trPr>
        <w:tc>
          <w:tcPr>
            <w:tcW w:type="dxa" w:w="223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Content</w:t>
            </w:r>
          </w:p>
        </w:tc>
        <w:tc>
          <w:tcPr>
            <w:tcW w:type="dxa" w:w="74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ContentItem, ContentVersion, MediaAsset, Template, ReviewResult, Approval, Schedule, Publication</w:t>
            </w:r>
          </w:p>
        </w:tc>
      </w:tr>
      <w:tr>
        <w:trPr>
          <w:cantSplit/>
        </w:trPr>
        <w:tc>
          <w:tcPr>
            <w:tcW w:type="dxa" w:w="22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Lead</w:t>
            </w:r>
          </w:p>
        </w:tc>
        <w:tc>
          <w:tcPr>
            <w:tcW w:type="dxa" w:w="74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Contact, Lead, LeadSource, Conversation, Message, QualificationAnswer, LeadScore, Handoff</w:t>
            </w:r>
          </w:p>
        </w:tc>
      </w:tr>
      <w:tr>
        <w:trPr>
          <w:cantSplit/>
        </w:trPr>
        <w:tc>
          <w:tcPr>
            <w:tcW w:type="dxa" w:w="223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Booking + outcome</w:t>
            </w:r>
          </w:p>
        </w:tc>
        <w:tc>
          <w:tcPr>
            <w:tcW w:type="dxa" w:w="74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Availability, Appointment, Attendance, Opportunity, ConversionEvent, LostReason, Revenue</w:t>
            </w:r>
          </w:p>
        </w:tc>
      </w:tr>
      <w:tr>
        <w:trPr>
          <w:cantSplit/>
        </w:trPr>
        <w:tc>
          <w:tcPr>
            <w:tcW w:type="dxa" w:w="22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Learning + governance</w:t>
            </w:r>
          </w:p>
        </w:tc>
        <w:tc>
          <w:tcPr>
            <w:tcW w:type="dxa" w:w="74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Event, AttributionLink, Recommendation, Evaluation, PolicyDecision, AuditEvent</w:t>
            </w:r>
          </w:p>
        </w:tc>
      </w:tr>
    </w:tbl>
    <w:p>
      <w:pPr>
        <w:spacing w:after="20"/>
        <w:widowControl w:val="1"/>
      </w:pPr>
    </w:p>
    <w:p>
      <w:pPr>
        <w:pStyle w:val="Heading2"/>
        <w:keepNext/>
        <w:spacing w:before="160" w:after="80"/>
        <w:widowControl w:val="1"/>
      </w:pPr>
      <w:r>
        <w:rPr>
          <w:rFonts w:ascii="Arial" w:hAnsi="Arial" w:eastAsia="Arial"/>
          <w:b/>
          <w:color w:val="0F766E"/>
          <w:sz w:val="26"/>
        </w:rPr>
        <w:t>Security and reliability requirements</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216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Requirement</w:t>
            </w:r>
          </w:p>
        </w:tc>
        <w:tc>
          <w:tcPr>
            <w:tcW w:type="dxa" w:w="756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Minimum implementation</w:t>
            </w:r>
          </w:p>
        </w:tc>
      </w:tr>
      <w:tr>
        <w:trPr>
          <w:cantSplit/>
        </w:trPr>
        <w:tc>
          <w:tcPr>
            <w:tcW w:type="dxa" w:w="216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Tenant isolation</w:t>
            </w:r>
          </w:p>
        </w:tc>
        <w:tc>
          <w:tcPr>
            <w:tcW w:type="dxa" w:w="756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Tenant key on every customer record, authorization middleware, automated isolation tests.</w:t>
            </w:r>
          </w:p>
        </w:tc>
      </w:tr>
      <w:tr>
        <w:trPr>
          <w:cantSplit/>
        </w:trPr>
        <w:tc>
          <w:tcPr>
            <w:tcW w:type="dxa" w:w="216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Secrets</w:t>
            </w:r>
          </w:p>
        </w:tc>
        <w:tc>
          <w:tcPr>
            <w:tcW w:type="dxa" w:w="756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Encrypted OAuth tokens and API keys in a secrets manager; never in prompts, logs, or repository.</w:t>
            </w:r>
          </w:p>
        </w:tc>
      </w:tr>
      <w:tr>
        <w:trPr>
          <w:cantSplit/>
        </w:trPr>
        <w:tc>
          <w:tcPr>
            <w:tcW w:type="dxa" w:w="216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Idempotency</w:t>
            </w:r>
          </w:p>
        </w:tc>
        <w:tc>
          <w:tcPr>
            <w:tcW w:type="dxa" w:w="756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Publishing, messages, bookings, payments, and webhooks must tolerate retries without duplication.</w:t>
            </w:r>
          </w:p>
        </w:tc>
      </w:tr>
      <w:tr>
        <w:trPr>
          <w:cantSplit/>
        </w:trPr>
        <w:tc>
          <w:tcPr>
            <w:tcW w:type="dxa" w:w="216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Auditability</w:t>
            </w:r>
          </w:p>
        </w:tc>
        <w:tc>
          <w:tcPr>
            <w:tcW w:type="dxa" w:w="756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Immutable record of approvals, policy decisions, external actions, model/version, and actor.</w:t>
            </w:r>
          </w:p>
        </w:tc>
      </w:tr>
      <w:tr>
        <w:trPr>
          <w:cantSplit/>
        </w:trPr>
        <w:tc>
          <w:tcPr>
            <w:tcW w:type="dxa" w:w="216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Consent</w:t>
            </w:r>
          </w:p>
        </w:tc>
        <w:tc>
          <w:tcPr>
            <w:tcW w:type="dxa" w:w="756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Purpose-specific opt-in, opt-out, suppression list, retention, deletion, and channel policy state.</w:t>
            </w:r>
          </w:p>
        </w:tc>
      </w:tr>
      <w:tr>
        <w:trPr>
          <w:cantSplit/>
        </w:trPr>
        <w:tc>
          <w:tcPr>
            <w:tcW w:type="dxa" w:w="216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Human control</w:t>
            </w:r>
          </w:p>
        </w:tc>
        <w:tc>
          <w:tcPr>
            <w:tcW w:type="dxa" w:w="756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Immediate takeover, emergency pause per workspace/campaign/channel, and safe default on uncertainty.</w:t>
            </w:r>
          </w:p>
        </w:tc>
      </w:tr>
      <w:tr>
        <w:trPr>
          <w:cantSplit/>
        </w:trPr>
        <w:tc>
          <w:tcPr>
            <w:tcW w:type="dxa" w:w="216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AI evaluation</w:t>
            </w:r>
          </w:p>
        </w:tc>
        <w:tc>
          <w:tcPr>
            <w:tcW w:type="dxa" w:w="756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Golden test cases, hallucination checks, tool-call validation, regression tests, and production sampling.</w:t>
            </w:r>
          </w:p>
        </w:tc>
      </w:tr>
      <w:tr>
        <w:trPr>
          <w:cantSplit/>
        </w:trPr>
        <w:tc>
          <w:tcPr>
            <w:tcW w:type="dxa" w:w="216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Cost controls</w:t>
            </w:r>
          </w:p>
        </w:tc>
        <w:tc>
          <w:tcPr>
            <w:tcW w:type="dxa" w:w="756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Per-tenant quotas, model routing, token/media budgets, cache, retries limit, and usage reporting.</w:t>
            </w:r>
          </w:p>
        </w:tc>
      </w:tr>
    </w:tbl>
    <w:p>
      <w:pPr>
        <w:spacing w:after="20"/>
        <w:widowControl w:val="1"/>
      </w:pPr>
    </w:p>
    <w:p>
      <w:pPr>
        <w:keepNext/>
        <w:spacing w:before="0" w:after="100"/>
        <w:widowControl w:val="1"/>
      </w:pPr>
      <w:r>
        <w:rPr>
          <w:rFonts w:ascii="Arial" w:hAnsi="Arial" w:eastAsia="Arial"/>
          <w:b/>
          <w:color w:val="0F172A"/>
          <w:sz w:val="38"/>
        </w:rPr>
        <w:t>8  Development operating model for your setup</w:t>
      </w:r>
    </w:p>
    <w:p>
      <w:pPr>
        <w:keepNext/>
        <w:spacing w:after="160"/>
        <w:widowControl w:val="1"/>
      </w:pPr>
      <w:r>
        <w:rPr>
          <w:rFonts w:ascii="Arial" w:hAnsi="Arial" w:eastAsia="Arial"/>
          <w:color w:val="0F766E"/>
          <w:sz w:val="14"/>
        </w:rPr>
        <w:t>━━━━━━━━━━━━━━━━━━━━━━━━━━━━━━━━━━━━━━━━</w:t>
      </w:r>
    </w:p>
    <w:p>
      <w:pPr>
        <w:keepNext/>
        <w:spacing w:after="160"/>
        <w:widowControl w:val="1"/>
      </w:pPr>
      <w:r>
        <w:rPr>
          <w:rFonts w:ascii="Arial" w:hAnsi="Arial" w:eastAsia="Arial"/>
          <w:i/>
          <w:color w:val="64748B"/>
          <w:sz w:val="20"/>
        </w:rPr>
        <w:t>Your tools should have distinct responsibilities and share durable project context.</w:t>
      </w:r>
    </w:p>
    <w:p>
      <w:pPr>
        <w:pStyle w:val="Heading2"/>
        <w:keepNext/>
        <w:spacing w:before="160" w:after="80"/>
        <w:widowControl w:val="1"/>
      </w:pPr>
      <w:r>
        <w:rPr>
          <w:rFonts w:ascii="Arial" w:hAnsi="Arial" w:eastAsia="Arial"/>
          <w:b/>
          <w:color w:val="0F766E"/>
          <w:sz w:val="26"/>
        </w:rPr>
        <w:t>Tool responsibilities</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1584"/>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Tool</w:t>
            </w:r>
          </w:p>
        </w:tc>
        <w:tc>
          <w:tcPr>
            <w:tcW w:type="dxa" w:w="2232"/>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Primary role</w:t>
            </w:r>
          </w:p>
        </w:tc>
        <w:tc>
          <w:tcPr>
            <w:tcW w:type="dxa" w:w="3168"/>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Use it for</w:t>
            </w:r>
          </w:p>
        </w:tc>
        <w:tc>
          <w:tcPr>
            <w:tcW w:type="dxa" w:w="2736"/>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Do not use it as</w:t>
            </w:r>
          </w:p>
        </w:tc>
      </w:tr>
      <w:tr>
        <w:trPr>
          <w:cantSplit/>
        </w:trPr>
        <w:tc>
          <w:tcPr>
            <w:tcW w:type="dxa" w:w="158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MacBook</w:t>
            </w:r>
          </w:p>
        </w:tc>
        <w:tc>
          <w:tcPr>
            <w:tcW w:type="dxa" w:w="22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Local development and secure operator environment</w:t>
            </w:r>
          </w:p>
        </w:tc>
        <w:tc>
          <w:tcPr>
            <w:tcW w:type="dxa" w:w="316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Repository, local services, tests, previews, development database, Hermes gateway.</w:t>
            </w:r>
          </w:p>
        </w:tc>
        <w:tc>
          <w:tcPr>
            <w:tcW w:type="dxa" w:w="273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The long-term always-on production server.</w:t>
            </w:r>
          </w:p>
        </w:tc>
      </w:tr>
      <w:tr>
        <w:trPr>
          <w:cantSplit/>
        </w:trPr>
        <w:tc>
          <w:tcPr>
            <w:tcW w:type="dxa" w:w="158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GPT-5.6 Sol in ChatGPT</w:t>
            </w:r>
          </w:p>
        </w:tc>
        <w:tc>
          <w:tcPr>
            <w:tcW w:type="dxa" w:w="223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Strategic and technical reviewer</w:t>
            </w:r>
          </w:p>
        </w:tc>
        <w:tc>
          <w:tcPr>
            <w:tcW w:type="dxa" w:w="316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Business challenge, architecture, product tradeoffs, threat modeling, difficult debugging, plan review.</w:t>
            </w:r>
          </w:p>
        </w:tc>
        <w:tc>
          <w:tcPr>
            <w:tcW w:type="dxa" w:w="273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The only place where decisions live.</w:t>
            </w:r>
          </w:p>
        </w:tc>
      </w:tr>
      <w:tr>
        <w:trPr>
          <w:cantSplit/>
        </w:trPr>
        <w:tc>
          <w:tcPr>
            <w:tcW w:type="dxa" w:w="158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Cursor</w:t>
            </w:r>
          </w:p>
        </w:tc>
        <w:tc>
          <w:tcPr>
            <w:tcW w:type="dxa" w:w="22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Primary implementation environment</w:t>
            </w:r>
          </w:p>
        </w:tc>
        <w:tc>
          <w:tcPr>
            <w:tcW w:type="dxa" w:w="316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Codebase exploration, feature implementation, refactoring, tests, diffs, local commands.</w:t>
            </w:r>
          </w:p>
        </w:tc>
        <w:tc>
          <w:tcPr>
            <w:tcW w:type="dxa" w:w="273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An unconstrained product manager deciding scope without the brief.</w:t>
            </w:r>
          </w:p>
        </w:tc>
      </w:tr>
      <w:tr>
        <w:trPr>
          <w:cantSplit/>
        </w:trPr>
        <w:tc>
          <w:tcPr>
            <w:tcW w:type="dxa" w:w="158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Hermes Agent</w:t>
            </w:r>
          </w:p>
        </w:tc>
        <w:tc>
          <w:tcPr>
            <w:tcW w:type="dxa" w:w="223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Continuity, research, orchestration, and reusable development operations</w:t>
            </w:r>
          </w:p>
        </w:tc>
        <w:tc>
          <w:tcPr>
            <w:tcW w:type="dxa" w:w="316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Memory, skills, project status, research, documentation, QA checklists, Git summaries, phone access.</w:t>
            </w:r>
          </w:p>
        </w:tc>
        <w:tc>
          <w:tcPr>
            <w:tcW w:type="dxa" w:w="273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The ungoverned customer-facing production runtime.</w:t>
            </w:r>
          </w:p>
        </w:tc>
      </w:tr>
      <w:tr>
        <w:trPr>
          <w:cantSplit/>
        </w:trPr>
        <w:tc>
          <w:tcPr>
            <w:tcW w:type="dxa" w:w="158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6"/>
              </w:rPr>
              <w:t>Git + GitHub</w:t>
            </w:r>
          </w:p>
        </w:tc>
        <w:tc>
          <w:tcPr>
            <w:tcW w:type="dxa" w:w="22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Source of truth and collaboration history</w:t>
            </w:r>
          </w:p>
        </w:tc>
        <w:tc>
          <w:tcPr>
            <w:tcW w:type="dxa" w:w="316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Branches, commits, pull requests, issues, ADRs, release tags, CI.</w:t>
            </w:r>
          </w:p>
        </w:tc>
        <w:tc>
          <w:tcPr>
            <w:tcW w:type="dxa" w:w="273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6"/>
              </w:rPr>
              <w:t>A backup used only at the end.</w:t>
            </w:r>
          </w:p>
        </w:tc>
      </w:tr>
    </w:tbl>
    <w:p>
      <w:pPr>
        <w:spacing w:after="20"/>
        <w:widowControl w:val="1"/>
      </w:pPr>
    </w:p>
    <w:p>
      <w:pPr>
        <w:pStyle w:val="Heading2"/>
        <w:keepNext/>
        <w:spacing w:before="160" w:after="80"/>
        <w:widowControl w:val="1"/>
      </w:pPr>
      <w:r>
        <w:rPr>
          <w:rFonts w:ascii="Arial" w:hAnsi="Arial" w:eastAsia="Arial"/>
          <w:b/>
          <w:color w:val="0F766E"/>
          <w:sz w:val="26"/>
        </w:rPr>
        <w:t>Recommended responsibility split</w:t>
      </w:r>
    </w:p>
    <w:tbl>
      <w:tblPr>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cantSplit/>
        </w:trPr>
        <w:tc>
          <w:tcPr>
            <w:tcW w:type="dxa" w:w="180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Work type</w:t>
            </w:r>
          </w:p>
        </w:tc>
        <w:tc>
          <w:tcPr>
            <w:tcW w:type="dxa" w:w="2088"/>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GPT Sol</w:t>
            </w:r>
          </w:p>
        </w:tc>
        <w:tc>
          <w:tcPr>
            <w:tcW w:type="dxa" w:w="2088"/>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Cursor</w:t>
            </w:r>
          </w:p>
        </w:tc>
        <w:tc>
          <w:tcPr>
            <w:tcW w:type="dxa" w:w="2088"/>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Hermes</w:t>
            </w:r>
          </w:p>
        </w:tc>
        <w:tc>
          <w:tcPr>
            <w:tcW w:type="dxa" w:w="1655"/>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Founder</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Product strategy</w:t>
            </w:r>
          </w:p>
        </w:tc>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Challenge and recommend</w:t>
            </w:r>
          </w:p>
        </w:tc>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Read context</w:t>
            </w:r>
          </w:p>
        </w:tc>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Maintain research/context</w:t>
            </w:r>
          </w:p>
        </w:tc>
        <w:tc>
          <w:tcPr>
            <w:tcW w:type="dxa" w:w="1655"/>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Decide</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Architecture</w:t>
            </w:r>
          </w:p>
        </w:tc>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Design/review major choices</w:t>
            </w:r>
          </w:p>
        </w:tc>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Implement approved design</w:t>
            </w:r>
          </w:p>
        </w:tc>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Track ADRs and dependencies</w:t>
            </w:r>
          </w:p>
        </w:tc>
        <w:tc>
          <w:tcPr>
            <w:tcW w:type="dxa" w:w="1655"/>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Approve risk/cost</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Feature coding</w:t>
            </w:r>
          </w:p>
        </w:tc>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Review difficult plan or diff</w:t>
            </w:r>
          </w:p>
        </w:tc>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Primary implementer</w:t>
            </w:r>
          </w:p>
        </w:tc>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Optional isolated task/review</w:t>
            </w:r>
          </w:p>
        </w:tc>
        <w:tc>
          <w:tcPr>
            <w:tcW w:type="dxa" w:w="1655"/>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Accept behavior</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Tests and QA</w:t>
            </w:r>
          </w:p>
        </w:tc>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Design risk-based test approach</w:t>
            </w:r>
          </w:p>
        </w:tc>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Write/run tests</w:t>
            </w:r>
          </w:p>
        </w:tc>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Run repeatable checklists and summarize</w:t>
            </w:r>
          </w:p>
        </w:tc>
        <w:tc>
          <w:tcPr>
            <w:tcW w:type="dxa" w:w="1655"/>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Validate user outcome</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Documentation</w:t>
            </w:r>
          </w:p>
        </w:tc>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Review clarity and completeness</w:t>
            </w:r>
          </w:p>
        </w:tc>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Update near code</w:t>
            </w:r>
          </w:p>
        </w:tc>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Maintain recurring docs/changelog</w:t>
            </w:r>
          </w:p>
        </w:tc>
        <w:tc>
          <w:tcPr>
            <w:tcW w:type="dxa" w:w="1655"/>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Approve external claims</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Research</w:t>
            </w:r>
          </w:p>
        </w:tc>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Analyze hard tradeoffs</w:t>
            </w:r>
          </w:p>
        </w:tc>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Inspect technical docs while coding</w:t>
            </w:r>
          </w:p>
        </w:tc>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Monitor APIs/competitors and save procedures</w:t>
            </w:r>
          </w:p>
        </w:tc>
        <w:tc>
          <w:tcPr>
            <w:tcW w:type="dxa" w:w="1655"/>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Set question and decision</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Release</w:t>
            </w:r>
          </w:p>
        </w:tc>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Review readiness and risks</w:t>
            </w:r>
          </w:p>
        </w:tc>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Prepare code and fixes</w:t>
            </w:r>
          </w:p>
        </w:tc>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Run release checklist/status report</w:t>
            </w:r>
          </w:p>
        </w:tc>
        <w:tc>
          <w:tcPr>
            <w:tcW w:type="dxa" w:w="1655"/>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Approve deployment</w:t>
            </w:r>
          </w:p>
        </w:tc>
      </w:tr>
    </w:tbl>
    <w:p>
      <w:pPr>
        <w:spacing w:after="20"/>
        <w:widowControl w:val="1"/>
      </w:pPr>
    </w:p>
    <w:p>
      <w:pPr>
        <w:pStyle w:val="Heading2"/>
        <w:keepNext/>
        <w:spacing w:before="160" w:after="80"/>
        <w:widowControl w:val="1"/>
      </w:pPr>
      <w:r>
        <w:rPr>
          <w:rFonts w:ascii="Arial" w:hAnsi="Arial" w:eastAsia="Arial"/>
          <w:b/>
          <w:color w:val="0F766E"/>
          <w:sz w:val="26"/>
        </w:rPr>
        <w:t>Repository as shared memory</w:t>
      </w:r>
    </w:p>
    <w:tbl>
      <w:tblPr>
        <w:tblW w:type="auto" w:w="0"/>
        <w:jc w:val="center"/>
        <w:tblLayout w:type="fixed"/>
        <w:tblLook w:firstColumn="1" w:firstRow="1" w:lastColumn="0" w:lastRow="0" w:noHBand="0" w:noVBand="1" w:val="04A0"/>
      </w:tblPr>
      <w:tblGrid>
        <w:gridCol w:w="9835"/>
      </w:tblGrid>
      <w:tr>
        <w:trPr>
          <w:cantSplit/>
        </w:trPr>
        <w:tc>
          <w:tcPr>
            <w:tcW w:type="dxa" w:w="9720"/>
            <w:shd w:fill="F1F5F9"/>
            <w:tcBorders>
              <w:top w:val="single" w:sz="6" w:color="CBD5E1"/>
              <w:start w:val="single" w:sz="6" w:color="CBD5E1"/>
              <w:bottom w:val="single" w:sz="6" w:color="CBD5E1"/>
              <w:end w:val="single" w:sz="6" w:color="CBD5E1"/>
            </w:tcBorders>
            <w:tcMar>
              <w:top w:w="100" w:type="dxa"/>
              <w:start w:w="130" w:type="dxa"/>
              <w:bottom w:w="100" w:type="dxa"/>
              <w:end w:w="130" w:type="dxa"/>
            </w:tcMar>
          </w:tcPr>
          <w:p>
            <w:pPr>
              <w:spacing w:after="0"/>
            </w:pPr>
            <w:r>
              <w:rPr>
                <w:rFonts w:ascii="Courier New" w:hAnsi="Courier New" w:eastAsia="Courier New"/>
                <w:color w:val="1E293B"/>
                <w:sz w:val="17"/>
              </w:rPr>
              <w:t>ai-growth-agency/</w:t>
            </w:r>
            <w:r>
              <w:br/>
            </w:r>
            <w:r>
              <w:rPr>
                <w:rFonts w:ascii="Courier New" w:hAnsi="Courier New" w:eastAsia="Courier New"/>
                <w:color w:val="1E293B"/>
                <w:sz w:val="17"/>
              </w:rPr>
              <w:t>├── AGENTS.md                  # shared instructions for coding agents</w:t>
            </w:r>
            <w:r>
              <w:br/>
            </w:r>
            <w:r>
              <w:rPr>
                <w:rFonts w:ascii="Courier New" w:hAnsi="Courier New" w:eastAsia="Courier New"/>
                <w:color w:val="1E293B"/>
                <w:sz w:val="17"/>
              </w:rPr>
              <w:t>├── .cursor/rules/             # Cursor-specific rules</w:t>
            </w:r>
            <w:r>
              <w:br/>
            </w:r>
            <w:r>
              <w:rPr>
                <w:rFonts w:ascii="Courier New" w:hAnsi="Courier New" w:eastAsia="Courier New"/>
                <w:color w:val="1E293B"/>
                <w:sz w:val="17"/>
              </w:rPr>
              <w:t>├── .hermes.md                 # Hermes operating boundaries</w:t>
            </w:r>
            <w:r>
              <w:br/>
            </w:r>
            <w:r>
              <w:rPr>
                <w:rFonts w:ascii="Courier New" w:hAnsi="Courier New" w:eastAsia="Courier New"/>
                <w:color w:val="1E293B"/>
                <w:sz w:val="17"/>
              </w:rPr>
              <w:t>├── docs/</w:t>
            </w:r>
            <w:r>
              <w:br/>
            </w:r>
            <w:r>
              <w:rPr>
                <w:rFonts w:ascii="Courier New" w:hAnsi="Courier New" w:eastAsia="Courier New"/>
                <w:color w:val="1E293B"/>
                <w:sz w:val="17"/>
              </w:rPr>
              <w:t>│   ├── product/master-brief.md</w:t>
            </w:r>
            <w:r>
              <w:br/>
            </w:r>
            <w:r>
              <w:rPr>
                <w:rFonts w:ascii="Courier New" w:hAnsi="Courier New" w:eastAsia="Courier New"/>
                <w:color w:val="1E293B"/>
                <w:sz w:val="17"/>
              </w:rPr>
              <w:t>│   ├── product/prd.md</w:t>
            </w:r>
            <w:r>
              <w:br/>
            </w:r>
            <w:r>
              <w:rPr>
                <w:rFonts w:ascii="Courier New" w:hAnsi="Courier New" w:eastAsia="Courier New"/>
                <w:color w:val="1E293B"/>
                <w:sz w:val="17"/>
              </w:rPr>
              <w:t>│   ├── architecture/system-design.md</w:t>
            </w:r>
            <w:r>
              <w:br/>
            </w:r>
            <w:r>
              <w:rPr>
                <w:rFonts w:ascii="Courier New" w:hAnsi="Courier New" w:eastAsia="Courier New"/>
                <w:color w:val="1E293B"/>
                <w:sz w:val="17"/>
              </w:rPr>
              <w:t>│   ├── decisions/ADR-0001-*.md</w:t>
            </w:r>
            <w:r>
              <w:br/>
            </w:r>
            <w:r>
              <w:rPr>
                <w:rFonts w:ascii="Courier New" w:hAnsi="Courier New" w:eastAsia="Courier New"/>
                <w:color w:val="1E293B"/>
                <w:sz w:val="17"/>
              </w:rPr>
              <w:t>│   ├── research/</w:t>
            </w:r>
            <w:r>
              <w:br/>
            </w:r>
            <w:r>
              <w:rPr>
                <w:rFonts w:ascii="Courier New" w:hAnsi="Courier New" w:eastAsia="Courier New"/>
                <w:color w:val="1E293B"/>
                <w:sz w:val="17"/>
              </w:rPr>
              <w:t>│   ├── sprints/</w:t>
            </w:r>
            <w:r>
              <w:br/>
            </w:r>
            <w:r>
              <w:rPr>
                <w:rFonts w:ascii="Courier New" w:hAnsi="Courier New" w:eastAsia="Courier New"/>
                <w:color w:val="1E293B"/>
                <w:sz w:val="17"/>
              </w:rPr>
              <w:t>│   └── runbooks/</w:t>
            </w:r>
            <w:r>
              <w:br/>
            </w:r>
            <w:r>
              <w:rPr>
                <w:rFonts w:ascii="Courier New" w:hAnsi="Courier New" w:eastAsia="Courier New"/>
                <w:color w:val="1E293B"/>
                <w:sz w:val="17"/>
              </w:rPr>
              <w:t>├── apps/</w:t>
            </w:r>
            <w:r>
              <w:br/>
            </w:r>
            <w:r>
              <w:rPr>
                <w:rFonts w:ascii="Courier New" w:hAnsi="Courier New" w:eastAsia="Courier New"/>
                <w:color w:val="1E293B"/>
                <w:sz w:val="17"/>
              </w:rPr>
              <w:t>│   ├── web/</w:t>
            </w:r>
            <w:r>
              <w:br/>
            </w:r>
            <w:r>
              <w:rPr>
                <w:rFonts w:ascii="Courier New" w:hAnsi="Courier New" w:eastAsia="Courier New"/>
                <w:color w:val="1E293B"/>
                <w:sz w:val="17"/>
              </w:rPr>
              <w:t>│   └── worker/</w:t>
            </w:r>
            <w:r>
              <w:br/>
            </w:r>
            <w:r>
              <w:rPr>
                <w:rFonts w:ascii="Courier New" w:hAnsi="Courier New" w:eastAsia="Courier New"/>
                <w:color w:val="1E293B"/>
                <w:sz w:val="17"/>
              </w:rPr>
              <w:t>├── packages/</w:t>
            </w:r>
            <w:r>
              <w:br/>
            </w:r>
            <w:r>
              <w:rPr>
                <w:rFonts w:ascii="Courier New" w:hAnsi="Courier New" w:eastAsia="Courier New"/>
                <w:color w:val="1E293B"/>
                <w:sz w:val="17"/>
              </w:rPr>
              <w:t>│   ├── domain/</w:t>
            </w:r>
            <w:r>
              <w:br/>
            </w:r>
            <w:r>
              <w:rPr>
                <w:rFonts w:ascii="Courier New" w:hAnsi="Courier New" w:eastAsia="Courier New"/>
                <w:color w:val="1E293B"/>
                <w:sz w:val="17"/>
              </w:rPr>
              <w:t>│   ├── agents/</w:t>
            </w:r>
            <w:r>
              <w:br/>
            </w:r>
            <w:r>
              <w:rPr>
                <w:rFonts w:ascii="Courier New" w:hAnsi="Courier New" w:eastAsia="Courier New"/>
                <w:color w:val="1E293B"/>
                <w:sz w:val="17"/>
              </w:rPr>
              <w:t>│   ├── integrations/</w:t>
            </w:r>
            <w:r>
              <w:br/>
            </w:r>
            <w:r>
              <w:rPr>
                <w:rFonts w:ascii="Courier New" w:hAnsi="Courier New" w:eastAsia="Courier New"/>
                <w:color w:val="1E293B"/>
                <w:sz w:val="17"/>
              </w:rPr>
              <w:t>│   ├── ui/</w:t>
            </w:r>
            <w:r>
              <w:br/>
            </w:r>
            <w:r>
              <w:rPr>
                <w:rFonts w:ascii="Courier New" w:hAnsi="Courier New" w:eastAsia="Courier New"/>
                <w:color w:val="1E293B"/>
                <w:sz w:val="17"/>
              </w:rPr>
              <w:t>│   └── config/</w:t>
            </w:r>
            <w:r>
              <w:br/>
            </w:r>
            <w:r>
              <w:rPr>
                <w:rFonts w:ascii="Courier New" w:hAnsi="Courier New" w:eastAsia="Courier New"/>
                <w:color w:val="1E293B"/>
                <w:sz w:val="17"/>
              </w:rPr>
              <w:t>├── tests/</w:t>
            </w:r>
            <w:r>
              <w:br/>
            </w:r>
            <w:r>
              <w:rPr>
                <w:rFonts w:ascii="Courier New" w:hAnsi="Courier New" w:eastAsia="Courier New"/>
                <w:color w:val="1E293B"/>
                <w:sz w:val="17"/>
              </w:rPr>
              <w:t>└── infra/</w:t>
            </w:r>
          </w:p>
        </w:tc>
      </w:tr>
    </w:tbl>
    <w:p>
      <w:pPr>
        <w:spacing w:after="20"/>
        <w:widowControl w:val="1"/>
      </w:pPr>
    </w:p>
    <w:p>
      <w:pPr>
        <w:pStyle w:val="Heading2"/>
        <w:keepNext/>
        <w:spacing w:before="160" w:after="80"/>
        <w:widowControl w:val="1"/>
      </w:pPr>
      <w:r>
        <w:rPr>
          <w:rFonts w:ascii="Arial" w:hAnsi="Arial" w:eastAsia="Arial"/>
          <w:b/>
          <w:color w:val="0F766E"/>
          <w:sz w:val="26"/>
        </w:rPr>
        <w:t>Shared agent rules</w:t>
      </w:r>
    </w:p>
    <w:p>
      <w:pPr>
        <w:pStyle w:val="ListBullet"/>
        <w:spacing w:after="50"/>
        <w:ind w:left="288" w:hanging="173"/>
        <w:widowControl w:val="1"/>
      </w:pPr>
      <w:r>
        <w:rPr>
          <w:rFonts w:ascii="Arial" w:hAnsi="Arial" w:eastAsia="Arial"/>
          <w:color w:val="0F172A"/>
          <w:sz w:val="20"/>
        </w:rPr>
        <w:t>Read the master brief and relevant ADRs before proposing a major change.</w:t>
      </w:r>
    </w:p>
    <w:p>
      <w:pPr>
        <w:pStyle w:val="ListBullet"/>
        <w:spacing w:after="50"/>
        <w:ind w:left="288" w:hanging="173"/>
        <w:widowControl w:val="1"/>
      </w:pPr>
      <w:r>
        <w:rPr>
          <w:rFonts w:ascii="Arial" w:hAnsi="Arial" w:eastAsia="Arial"/>
          <w:color w:val="0F172A"/>
          <w:sz w:val="20"/>
        </w:rPr>
        <w:t>Do not modify the main branch directly. Use one feature branch or worktree per task.</w:t>
      </w:r>
    </w:p>
    <w:p>
      <w:pPr>
        <w:pStyle w:val="ListBullet"/>
        <w:spacing w:after="50"/>
        <w:ind w:left="288" w:hanging="173"/>
        <w:widowControl w:val="1"/>
      </w:pPr>
      <w:r>
        <w:rPr>
          <w:rFonts w:ascii="Arial" w:hAnsi="Arial" w:eastAsia="Arial"/>
          <w:color w:val="0F172A"/>
          <w:sz w:val="20"/>
        </w:rPr>
        <w:t>Only one agent actively edits a branch at a time; reviewers should comment or use a separate branch.</w:t>
      </w:r>
    </w:p>
    <w:p>
      <w:pPr>
        <w:pStyle w:val="ListBullet"/>
        <w:spacing w:after="50"/>
        <w:ind w:left="288" w:hanging="173"/>
        <w:widowControl w:val="1"/>
      </w:pPr>
      <w:r>
        <w:rPr>
          <w:rFonts w:ascii="Arial" w:hAnsi="Arial" w:eastAsia="Arial"/>
          <w:color w:val="0F172A"/>
          <w:sz w:val="20"/>
        </w:rPr>
        <w:t>Before coding, write acceptance criteria, affected components, migration impact, tests, and rollback plan.</w:t>
      </w:r>
    </w:p>
    <w:p>
      <w:pPr>
        <w:pStyle w:val="ListBullet"/>
        <w:spacing w:after="50"/>
        <w:ind w:left="288" w:hanging="173"/>
        <w:widowControl w:val="1"/>
      </w:pPr>
      <w:r>
        <w:rPr>
          <w:rFonts w:ascii="Arial" w:hAnsi="Arial" w:eastAsia="Arial"/>
          <w:color w:val="0F172A"/>
          <w:sz w:val="20"/>
        </w:rPr>
        <w:t>Never commit keys, tokens, customer data, generated secrets, or local environment files.</w:t>
      </w:r>
    </w:p>
    <w:p>
      <w:pPr>
        <w:pStyle w:val="ListBullet"/>
        <w:spacing w:after="50"/>
        <w:ind w:left="288" w:hanging="173"/>
        <w:widowControl w:val="1"/>
      </w:pPr>
      <w:r>
        <w:rPr>
          <w:rFonts w:ascii="Arial" w:hAnsi="Arial" w:eastAsia="Arial"/>
          <w:color w:val="0F172A"/>
          <w:sz w:val="20"/>
        </w:rPr>
        <w:t>Run formatting, type checks, unit tests, integration tests, and relevant end-to-end checks before marking a task complete.</w:t>
      </w:r>
    </w:p>
    <w:p>
      <w:pPr>
        <w:pStyle w:val="ListBullet"/>
        <w:spacing w:after="50"/>
        <w:ind w:left="288" w:hanging="173"/>
        <w:widowControl w:val="1"/>
      </w:pPr>
      <w:r>
        <w:rPr>
          <w:rFonts w:ascii="Arial" w:hAnsi="Arial" w:eastAsia="Arial"/>
          <w:color w:val="0F172A"/>
          <w:sz w:val="20"/>
        </w:rPr>
        <w:t>Update documentation and ADRs in the same pull request as behavior-changing code.</w:t>
      </w:r>
    </w:p>
    <w:p>
      <w:pPr>
        <w:pStyle w:val="ListBullet"/>
        <w:spacing w:after="50"/>
        <w:ind w:left="288" w:hanging="173"/>
        <w:widowControl w:val="1"/>
      </w:pPr>
      <w:r>
        <w:rPr>
          <w:rFonts w:ascii="Arial" w:hAnsi="Arial" w:eastAsia="Arial"/>
          <w:color w:val="0F172A"/>
          <w:sz w:val="20"/>
        </w:rPr>
        <w:t>Do not silently change product scope because implementation is easier. Escalate the tradeoff.</w:t>
      </w:r>
    </w:p>
    <w:p>
      <w:pPr>
        <w:pStyle w:val="Heading2"/>
        <w:keepNext/>
        <w:spacing w:before="160" w:after="80"/>
        <w:widowControl w:val="1"/>
      </w:pPr>
      <w:r>
        <w:rPr>
          <w:rFonts w:ascii="Arial" w:hAnsi="Arial" w:eastAsia="Arial"/>
          <w:b/>
          <w:color w:val="0F766E"/>
          <w:sz w:val="26"/>
        </w:rPr>
        <w:t>Suggested task workflow</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152"/>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Step</w:t>
            </w:r>
          </w:p>
        </w:tc>
        <w:tc>
          <w:tcPr>
            <w:tcW w:type="dxa" w:w="288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Owner / tool</w:t>
            </w:r>
          </w:p>
        </w:tc>
        <w:tc>
          <w:tcPr>
            <w:tcW w:type="dxa" w:w="5688"/>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Output</w:t>
            </w:r>
          </w:p>
        </w:tc>
      </w:tr>
      <w:tr>
        <w:trPr>
          <w:cantSplit/>
        </w:trPr>
        <w:tc>
          <w:tcPr>
            <w:tcW w:type="dxa" w:w="115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1. Define</w:t>
            </w:r>
          </w:p>
        </w:tc>
        <w:tc>
          <w:tcPr>
            <w:tcW w:type="dxa" w:w="288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Founder + GPT Sol</w:t>
            </w:r>
          </w:p>
        </w:tc>
        <w:tc>
          <w:tcPr>
            <w:tcW w:type="dxa" w:w="56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Approved problem, acceptance criteria, risks, and architectural direction.</w:t>
            </w:r>
          </w:p>
        </w:tc>
      </w:tr>
      <w:tr>
        <w:trPr>
          <w:cantSplit/>
        </w:trPr>
        <w:tc>
          <w:tcPr>
            <w:tcW w:type="dxa" w:w="115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2. Record</w:t>
            </w:r>
          </w:p>
        </w:tc>
        <w:tc>
          <w:tcPr>
            <w:tcW w:type="dxa" w:w="288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Hermes or founder</w:t>
            </w:r>
          </w:p>
        </w:tc>
        <w:tc>
          <w:tcPr>
            <w:tcW w:type="dxa" w:w="56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Issue, ADR if needed, task plan, relevant context links.</w:t>
            </w:r>
          </w:p>
        </w:tc>
      </w:tr>
      <w:tr>
        <w:trPr>
          <w:cantSplit/>
        </w:trPr>
        <w:tc>
          <w:tcPr>
            <w:tcW w:type="dxa" w:w="115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3. Implement</w:t>
            </w:r>
          </w:p>
        </w:tc>
        <w:tc>
          <w:tcPr>
            <w:tcW w:type="dxa" w:w="288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Cursor</w:t>
            </w:r>
          </w:p>
        </w:tc>
        <w:tc>
          <w:tcPr>
            <w:tcW w:type="dxa" w:w="56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Small feature branch with code, migrations, tests, and notes.</w:t>
            </w:r>
          </w:p>
        </w:tc>
      </w:tr>
      <w:tr>
        <w:trPr>
          <w:cantSplit/>
        </w:trPr>
        <w:tc>
          <w:tcPr>
            <w:tcW w:type="dxa" w:w="115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4. Review</w:t>
            </w:r>
          </w:p>
        </w:tc>
        <w:tc>
          <w:tcPr>
            <w:tcW w:type="dxa" w:w="288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Cursor second pass + GPT Sol for high-risk changes + Hermes checklist</w:t>
            </w:r>
          </w:p>
        </w:tc>
        <w:tc>
          <w:tcPr>
            <w:tcW w:type="dxa" w:w="56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Findings, fixes, evidence that acceptance criteria pass.</w:t>
            </w:r>
          </w:p>
        </w:tc>
      </w:tr>
      <w:tr>
        <w:trPr>
          <w:cantSplit/>
        </w:trPr>
        <w:tc>
          <w:tcPr>
            <w:tcW w:type="dxa" w:w="115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5. Validate</w:t>
            </w:r>
          </w:p>
        </w:tc>
        <w:tc>
          <w:tcPr>
            <w:tcW w:type="dxa" w:w="288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Founder</w:t>
            </w:r>
          </w:p>
        </w:tc>
        <w:tc>
          <w:tcPr>
            <w:tcW w:type="dxa" w:w="56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User-level behavior accepted; screenshots/demo where useful.</w:t>
            </w:r>
          </w:p>
        </w:tc>
      </w:tr>
      <w:tr>
        <w:trPr>
          <w:cantSplit/>
        </w:trPr>
        <w:tc>
          <w:tcPr>
            <w:tcW w:type="dxa" w:w="115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6. Merge and document</w:t>
            </w:r>
          </w:p>
        </w:tc>
        <w:tc>
          <w:tcPr>
            <w:tcW w:type="dxa" w:w="288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GitHub + Hermes</w:t>
            </w:r>
          </w:p>
        </w:tc>
        <w:tc>
          <w:tcPr>
            <w:tcW w:type="dxa" w:w="56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Merged PR, changelog, updated project status, next task.</w:t>
            </w:r>
          </w:p>
        </w:tc>
      </w:tr>
    </w:tbl>
    <w:p>
      <w:pPr>
        <w:spacing w:after="20"/>
        <w:widowControl w:val="1"/>
      </w:pPr>
    </w:p>
    <w:tbl>
      <w:tblPr>
        <w:tblW w:type="auto" w:w="0"/>
        <w:jc w:val="center"/>
        <w:tblLayout w:type="fixed"/>
        <w:tblLook w:firstColumn="1" w:firstRow="1" w:lastColumn="0" w:lastRow="0" w:noHBand="0" w:noVBand="1" w:val="04A0"/>
      </w:tblPr>
      <w:tblGrid>
        <w:gridCol w:w="9835"/>
      </w:tblGrid>
      <w:tr>
        <w:trPr>
          <w:cantSplit/>
        </w:trPr>
        <w:tc>
          <w:tcPr>
            <w:tcW w:type="dxa" w:w="9720"/>
            <w:shd w:fill="CCFBF1"/>
            <w:tcMar>
              <w:top w:w="120" w:type="dxa"/>
              <w:start w:w="150" w:type="dxa"/>
              <w:bottom w:w="120" w:type="dxa"/>
              <w:end w:w="150" w:type="dxa"/>
            </w:tcMar>
            <w:tcBorders>
              <w:top w:val="nil"/>
              <w:start w:val="single" w:sz="18" w:color="0F766E"/>
              <w:bottom w:val="nil"/>
              <w:end w:val="nil"/>
            </w:tcBorders>
          </w:tcPr>
          <w:p>
            <w:pPr>
              <w:spacing w:after="60"/>
            </w:pPr>
            <w:r>
              <w:rPr>
                <w:rFonts w:ascii="Arial" w:hAnsi="Arial" w:eastAsia="Arial"/>
                <w:b/>
                <w:color w:val="0F766E"/>
                <w:sz w:val="21"/>
              </w:rPr>
              <w:t>Hermes context strategy</w:t>
            </w:r>
          </w:p>
          <w:p>
            <w:pPr>
              <w:spacing w:after="0"/>
            </w:pPr>
            <w:r>
              <w:rPr>
                <w:rFonts w:ascii="Arial" w:hAnsi="Arial" w:eastAsia="Arial"/>
                <w:color w:val="0F172A"/>
                <w:sz w:val="19"/>
              </w:rPr>
              <w:t>Keep facts such as project paths, preferences, environments, and current state in memory. Keep repeatable procedures such as release checks, competitor reviews, API verification, and PRD-to-issue conversion as skills. Keep product truth and architectural decisions in the repository.</w:t>
            </w:r>
          </w:p>
        </w:tc>
      </w:tr>
    </w:tbl>
    <w:p>
      <w:pPr>
        <w:spacing w:after="20"/>
        <w:widowControl w:val="1"/>
      </w:pPr>
    </w:p>
    <w:p>
      <w:pPr>
        <w:keepNext/>
        <w:spacing w:before="0" w:after="100"/>
        <w:widowControl w:val="1"/>
      </w:pPr>
      <w:r>
        <w:rPr>
          <w:rFonts w:ascii="Arial" w:hAnsi="Arial" w:eastAsia="Arial"/>
          <w:b/>
          <w:color w:val="0F172A"/>
          <w:sz w:val="38"/>
        </w:rPr>
        <w:t>9  Roadmap, pilot, and launch strategy</w:t>
      </w:r>
    </w:p>
    <w:p>
      <w:pPr>
        <w:keepNext/>
        <w:spacing w:after="160"/>
        <w:widowControl w:val="1"/>
      </w:pPr>
      <w:r>
        <w:rPr>
          <w:rFonts w:ascii="Arial" w:hAnsi="Arial" w:eastAsia="Arial"/>
          <w:color w:val="0F766E"/>
          <w:sz w:val="14"/>
        </w:rPr>
        <w:t>━━━━━━━━━━━━━━━━━━━━━━━━━━━━━━━━━━━━━━━━</w:t>
      </w:r>
    </w:p>
    <w:p>
      <w:pPr>
        <w:keepNext/>
        <w:spacing w:after="160"/>
        <w:widowControl w:val="1"/>
      </w:pPr>
      <w:r>
        <w:rPr>
          <w:rFonts w:ascii="Arial" w:hAnsi="Arial" w:eastAsia="Arial"/>
          <w:i/>
          <w:color w:val="64748B"/>
          <w:sz w:val="20"/>
        </w:rPr>
        <w:t>Validate the outcome with real customers while the product is still service-backed.</w:t>
      </w:r>
    </w:p>
    <w:p>
      <w:pPr>
        <w:pStyle w:val="Heading2"/>
        <w:keepNext/>
        <w:spacing w:before="160" w:after="80"/>
        <w:widowControl w:val="1"/>
      </w:pPr>
      <w:r>
        <w:rPr>
          <w:rFonts w:ascii="Arial" w:hAnsi="Arial" w:eastAsia="Arial"/>
          <w:b/>
          <w:color w:val="0F766E"/>
          <w:sz w:val="26"/>
        </w:rPr>
        <w:t>Recommended delivery phases</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180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Phase</w:t>
            </w:r>
          </w:p>
        </w:tc>
        <w:tc>
          <w:tcPr>
            <w:tcW w:type="dxa" w:w="216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Outcome</w:t>
            </w:r>
          </w:p>
        </w:tc>
        <w:tc>
          <w:tcPr>
            <w:tcW w:type="dxa" w:w="3671"/>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Scope</w:t>
            </w:r>
          </w:p>
        </w:tc>
        <w:tc>
          <w:tcPr>
            <w:tcW w:type="dxa" w:w="2088"/>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Exit evidence</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0. Discovery + design partners</w:t>
            </w:r>
          </w:p>
        </w:tc>
        <w:tc>
          <w:tcPr>
            <w:tcW w:type="dxa" w:w="216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Choose one vertical and prove the workflow manually.</w:t>
            </w:r>
          </w:p>
        </w:tc>
        <w:tc>
          <w:tcPr>
            <w:tcW w:type="dxa" w:w="3671"/>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10–20 interviews; 5–10 design partners; baseline metrics; campaign/lead playbook; clickable prototype.</w:t>
            </w:r>
          </w:p>
        </w:tc>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Repeated pain, willingness to pay, one clear conversion event, pilot commitments.</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1. Foundation</w:t>
            </w:r>
          </w:p>
        </w:tc>
        <w:tc>
          <w:tcPr>
            <w:tcW w:type="dxa" w:w="216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Secure multi-tenant product base.</w:t>
            </w:r>
          </w:p>
        </w:tc>
        <w:tc>
          <w:tcPr>
            <w:tcW w:type="dxa" w:w="3671"/>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Auth, organizations, roles, Business Brain, integrations framework, audit log, events, design system.</w:t>
            </w:r>
          </w:p>
        </w:tc>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 pilot business can onboard safely and verify its context.</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2. Campaign + content</w:t>
            </w:r>
          </w:p>
        </w:tc>
        <w:tc>
          <w:tcPr>
            <w:tcW w:type="dxa" w:w="216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Create and approve a complete campaign.</w:t>
            </w:r>
          </w:p>
        </w:tc>
        <w:tc>
          <w:tcPr>
            <w:tcW w:type="dxa" w:w="3671"/>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Planner, copy, templates, media, QA, approval, calendar, initial publishing adapters.</w:t>
            </w:r>
          </w:p>
        </w:tc>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Approved campaign publishes reliably to the first channels.</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3. Lead Concierge</w:t>
            </w:r>
          </w:p>
        </w:tc>
        <w:tc>
          <w:tcPr>
            <w:tcW w:type="dxa" w:w="216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Convert campaign interest into bookings.</w:t>
            </w:r>
          </w:p>
        </w:tc>
        <w:tc>
          <w:tcPr>
            <w:tcW w:type="dxa" w:w="3671"/>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Lead capture, inbox, FAQs, qualification, calendar, follow-up, takeover, pipeline.</w:t>
            </w:r>
          </w:p>
        </w:tc>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 lead can move from campaign to booked outcome without manual data copying.</w:t>
            </w:r>
          </w:p>
        </w:tc>
      </w:tr>
      <w:tr>
        <w:trPr>
          <w:cantSplit/>
        </w:trPr>
        <w:tc>
          <w:tcPr>
            <w:tcW w:type="dxa" w:w="18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4. Revenue intelligence</w:t>
            </w:r>
          </w:p>
        </w:tc>
        <w:tc>
          <w:tcPr>
            <w:tcW w:type="dxa" w:w="216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Explain what worked and what to test next.</w:t>
            </w:r>
          </w:p>
        </w:tc>
        <w:tc>
          <w:tcPr>
            <w:tcW w:type="dxa" w:w="3671"/>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Funnel, outcomes, attribution rules, lost reasons, weekly memo, experiment backlog.</w:t>
            </w:r>
          </w:p>
        </w:tc>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Owner can see qualified/attended outcomes by campaign and approve the next test.</w:t>
            </w:r>
          </w:p>
        </w:tc>
      </w:tr>
      <w:tr>
        <w:trPr>
          <w:cantSplit/>
        </w:trPr>
        <w:tc>
          <w:tcPr>
            <w:tcW w:type="dxa" w:w="18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5. Pilot hardening + paid launch</w:t>
            </w:r>
          </w:p>
        </w:tc>
        <w:tc>
          <w:tcPr>
            <w:tcW w:type="dxa" w:w="216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Operate reliably for paying design partners.</w:t>
            </w:r>
          </w:p>
        </w:tc>
        <w:tc>
          <w:tcPr>
            <w:tcW w:type="dxa" w:w="3671"/>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Observability, policy controls, support, cost monitoring, billing, onboarding playbook, case studies.</w:t>
            </w:r>
          </w:p>
        </w:tc>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Stable usage, measured lift, acceptable owner workload, retention and referrals.</w:t>
            </w:r>
          </w:p>
        </w:tc>
      </w:tr>
    </w:tbl>
    <w:p>
      <w:pPr>
        <w:spacing w:after="20"/>
        <w:widowControl w:val="1"/>
      </w:pPr>
    </w:p>
    <w:p>
      <w:pPr>
        <w:spacing w:after="100"/>
        <w:widowControl w:val="1"/>
      </w:pPr>
      <w:r>
        <w:rPr>
          <w:rFonts w:ascii="Arial" w:hAnsi="Arial" w:eastAsia="Arial"/>
          <w:i/>
          <w:color w:val="64748B"/>
          <w:sz w:val="17"/>
        </w:rPr>
        <w:t>Timeline should be estimated after team capacity, channel APIs, and build-vs-buy decisions are approved. A solo founder should plan in months, not pretend this is a weekend build.</w:t>
      </w:r>
    </w:p>
    <w:p>
      <w:pPr>
        <w:pStyle w:val="Heading2"/>
        <w:keepNext/>
        <w:spacing w:before="160" w:after="80"/>
        <w:widowControl w:val="1"/>
      </w:pPr>
      <w:r>
        <w:rPr>
          <w:rFonts w:ascii="Arial" w:hAnsi="Arial" w:eastAsia="Arial"/>
          <w:b/>
          <w:color w:val="0F766E"/>
          <w:sz w:val="26"/>
        </w:rPr>
        <w:t>Managed-service-first launch</w:t>
      </w:r>
    </w:p>
    <w:p>
      <w:pPr>
        <w:keepNext w:val="0"/>
        <w:spacing w:after="100" w:before="0"/>
        <w:widowControl w:val="1"/>
      </w:pPr>
      <w:r>
        <w:rPr>
          <w:rFonts w:ascii="Arial" w:hAnsi="Arial" w:eastAsia="Arial"/>
        </w:rPr>
        <w:t>For the first customers, sell a polished agency outcome even if some work is manually supervised behind the scenes. Review every campaign and lead flow, study lost leads, and document each repeated procedure. Automate only workflows that work repeatedly across customers. This reduces the risk of productizing the wrong behavior.</w:t>
      </w:r>
    </w:p>
    <w:p>
      <w:pPr>
        <w:pStyle w:val="Heading2"/>
        <w:keepNext/>
        <w:spacing w:before="160" w:after="80"/>
        <w:widowControl w:val="1"/>
      </w:pPr>
      <w:r>
        <w:rPr>
          <w:rFonts w:ascii="Arial" w:hAnsi="Arial" w:eastAsia="Arial"/>
          <w:b/>
          <w:color w:val="0F766E"/>
          <w:sz w:val="26"/>
        </w:rPr>
        <w:t>Pilot scorecard</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2232"/>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Metric family</w:t>
            </w:r>
          </w:p>
        </w:tc>
        <w:tc>
          <w:tcPr>
            <w:tcW w:type="dxa" w:w="7488"/>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Baseline and target examples</w:t>
            </w:r>
          </w:p>
        </w:tc>
      </w:tr>
      <w:tr>
        <w:trPr>
          <w:cantSplit/>
        </w:trPr>
        <w:tc>
          <w:tcPr>
            <w:tcW w:type="dxa" w:w="22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Marketing</w:t>
            </w:r>
          </w:p>
        </w:tc>
        <w:tc>
          <w:tcPr>
            <w:tcW w:type="dxa" w:w="74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Campaign spend, reach, clicks, landing conversion, raw leads.</w:t>
            </w:r>
          </w:p>
        </w:tc>
      </w:tr>
      <w:tr>
        <w:trPr>
          <w:cantSplit/>
        </w:trPr>
        <w:tc>
          <w:tcPr>
            <w:tcW w:type="dxa" w:w="223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Lead handling</w:t>
            </w:r>
          </w:p>
        </w:tc>
        <w:tc>
          <w:tcPr>
            <w:tcW w:type="dxa" w:w="74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Median response time, engaged rate, qualification rate, unanswered leads, takeover rate.</w:t>
            </w:r>
          </w:p>
        </w:tc>
      </w:tr>
      <w:tr>
        <w:trPr>
          <w:cantSplit/>
        </w:trPr>
        <w:tc>
          <w:tcPr>
            <w:tcW w:type="dxa" w:w="22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Bookings</w:t>
            </w:r>
          </w:p>
        </w:tc>
        <w:tc>
          <w:tcPr>
            <w:tcW w:type="dxa" w:w="74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Booking rate, time to book, attendance rate, no-show recovery.</w:t>
            </w:r>
          </w:p>
        </w:tc>
      </w:tr>
      <w:tr>
        <w:trPr>
          <w:cantSplit/>
        </w:trPr>
        <w:tc>
          <w:tcPr>
            <w:tcW w:type="dxa" w:w="223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Business</w:t>
            </w:r>
          </w:p>
        </w:tc>
        <w:tc>
          <w:tcPr>
            <w:tcW w:type="dxa" w:w="74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Customers won, revenue, cost per attended outcome, owner time per week.</w:t>
            </w:r>
          </w:p>
        </w:tc>
      </w:tr>
      <w:tr>
        <w:trPr>
          <w:cantSplit/>
        </w:trPr>
        <w:tc>
          <w:tcPr>
            <w:tcW w:type="dxa" w:w="223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Trust</w:t>
            </w:r>
          </w:p>
        </w:tc>
        <w:tc>
          <w:tcPr>
            <w:tcW w:type="dxa" w:w="74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Incorrect claims, unauthorized actions, opt-outs, complaints, duplicate messages/posts, failed publications.</w:t>
            </w:r>
          </w:p>
        </w:tc>
      </w:tr>
      <w:tr>
        <w:trPr>
          <w:cantSplit/>
        </w:trPr>
        <w:tc>
          <w:tcPr>
            <w:tcW w:type="dxa" w:w="223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Product</w:t>
            </w:r>
          </w:p>
        </w:tc>
        <w:tc>
          <w:tcPr>
            <w:tcW w:type="dxa" w:w="74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Activation time, campaign approval time, weekly active owners, retention, workflow completion.</w:t>
            </w:r>
          </w:p>
        </w:tc>
      </w:tr>
    </w:tbl>
    <w:p>
      <w:pPr>
        <w:spacing w:after="20"/>
        <w:widowControl w:val="1"/>
      </w:pPr>
    </w:p>
    <w:p>
      <w:pPr>
        <w:pStyle w:val="Heading2"/>
        <w:keepNext/>
        <w:spacing w:before="160" w:after="80"/>
        <w:widowControl w:val="1"/>
      </w:pPr>
      <w:r>
        <w:rPr>
          <w:rFonts w:ascii="Arial" w:hAnsi="Arial" w:eastAsia="Arial"/>
          <w:b/>
          <w:color w:val="0F766E"/>
          <w:sz w:val="26"/>
        </w:rPr>
        <w:t>Business model hypothesis</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2592"/>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Revenue component</w:t>
            </w:r>
          </w:p>
        </w:tc>
        <w:tc>
          <w:tcPr>
            <w:tcW w:type="dxa" w:w="7128"/>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Purpose</w:t>
            </w:r>
          </w:p>
        </w:tc>
      </w:tr>
      <w:tr>
        <w:trPr>
          <w:cantSplit/>
        </w:trPr>
        <w:tc>
          <w:tcPr>
            <w:tcW w:type="dxa" w:w="259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Onboarding fee</w:t>
            </w:r>
          </w:p>
        </w:tc>
        <w:tc>
          <w:tcPr>
            <w:tcW w:type="dxa" w:w="712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Business Brain, account connections, tracking, lead flow, initial campaign, and training.</w:t>
            </w:r>
          </w:p>
        </w:tc>
      </w:tr>
      <w:tr>
        <w:trPr>
          <w:cantSplit/>
        </w:trPr>
        <w:tc>
          <w:tcPr>
            <w:tcW w:type="dxa" w:w="259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Monthly subscription</w:t>
            </w:r>
          </w:p>
        </w:tc>
        <w:tc>
          <w:tcPr>
            <w:tcW w:type="dxa" w:w="712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Campaign planning, content, publishing, Lead Concierge, analytics, and support.</w:t>
            </w:r>
          </w:p>
        </w:tc>
      </w:tr>
      <w:tr>
        <w:trPr>
          <w:cantSplit/>
        </w:trPr>
        <w:tc>
          <w:tcPr>
            <w:tcW w:type="dxa" w:w="259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Usage charges</w:t>
            </w:r>
          </w:p>
        </w:tc>
        <w:tc>
          <w:tcPr>
            <w:tcW w:type="dxa" w:w="712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Pass through or bundle AI, media, messaging, email/SMS, and high lead volume.</w:t>
            </w:r>
          </w:p>
        </w:tc>
      </w:tr>
      <w:tr>
        <w:trPr>
          <w:cantSplit/>
        </w:trPr>
        <w:tc>
          <w:tcPr>
            <w:tcW w:type="dxa" w:w="259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Outcome-linked fee later</w:t>
            </w:r>
          </w:p>
        </w:tc>
        <w:tc>
          <w:tcPr>
            <w:tcW w:type="dxa" w:w="712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Optional charge for verified attended outcomes or qualified opportunities after attribution and definitions are trusted.</w:t>
            </w:r>
          </w:p>
        </w:tc>
      </w:tr>
    </w:tbl>
    <w:p>
      <w:pPr>
        <w:spacing w:after="20"/>
        <w:widowControl w:val="1"/>
      </w:pPr>
    </w:p>
    <w:p>
      <w:pPr>
        <w:pStyle w:val="Heading2"/>
        <w:keepNext/>
        <w:spacing w:before="160" w:after="80"/>
        <w:widowControl w:val="1"/>
      </w:pPr>
      <w:r>
        <w:rPr>
          <w:rFonts w:ascii="Arial" w:hAnsi="Arial" w:eastAsia="Arial"/>
          <w:b/>
          <w:color w:val="0F766E"/>
          <w:sz w:val="26"/>
        </w:rPr>
        <w:t>Go-to-market sequence</w:t>
      </w:r>
    </w:p>
    <w:p>
      <w:pPr>
        <w:spacing w:after="60"/>
        <w:ind w:left="360" w:hanging="360"/>
        <w:widowControl w:val="1"/>
      </w:pPr>
      <w:r>
        <w:rPr>
          <w:rFonts w:ascii="Arial" w:hAnsi="Arial" w:eastAsia="Arial"/>
          <w:b/>
          <w:color w:val="0F172A"/>
          <w:sz w:val="20"/>
        </w:rPr>
        <w:t>1.</w:t>
      </w:r>
      <w:r>
        <w:rPr>
          <w:rFonts w:ascii="Arial" w:hAnsi="Arial" w:eastAsia="Arial"/>
          <w:color w:val="0F172A"/>
          <w:sz w:val="20"/>
        </w:rPr>
        <w:t xml:space="preserve">  Choose the vertical where you have the easiest access to owners and conversion data.</w:t>
      </w:r>
    </w:p>
    <w:p>
      <w:pPr>
        <w:spacing w:after="60"/>
        <w:ind w:left="360" w:hanging="360"/>
        <w:widowControl w:val="1"/>
      </w:pPr>
      <w:r>
        <w:rPr>
          <w:rFonts w:ascii="Arial" w:hAnsi="Arial" w:eastAsia="Arial"/>
          <w:b/>
          <w:color w:val="0F172A"/>
          <w:sz w:val="20"/>
        </w:rPr>
        <w:t>2.</w:t>
      </w:r>
      <w:r>
        <w:rPr>
          <w:rFonts w:ascii="Arial" w:hAnsi="Arial" w:eastAsia="Arial"/>
          <w:color w:val="0F172A"/>
          <w:sz w:val="20"/>
        </w:rPr>
        <w:t xml:space="preserve">  Recruit design partners with a concrete promise tied to one outcome, not a broad “AI marketing” pitch.</w:t>
      </w:r>
    </w:p>
    <w:p>
      <w:pPr>
        <w:spacing w:after="60"/>
        <w:ind w:left="360" w:hanging="360"/>
        <w:widowControl w:val="1"/>
      </w:pPr>
      <w:r>
        <w:rPr>
          <w:rFonts w:ascii="Arial" w:hAnsi="Arial" w:eastAsia="Arial"/>
          <w:b/>
          <w:color w:val="0F172A"/>
          <w:sz w:val="20"/>
        </w:rPr>
        <w:t>3.</w:t>
      </w:r>
      <w:r>
        <w:rPr>
          <w:rFonts w:ascii="Arial" w:hAnsi="Arial" w:eastAsia="Arial"/>
          <w:color w:val="0F172A"/>
          <w:sz w:val="20"/>
        </w:rPr>
        <w:t xml:space="preserve">  Establish a baseline before the pilot: leads, response time, booking rate, attendance, sales, spend, and owner hours.</w:t>
      </w:r>
    </w:p>
    <w:p>
      <w:pPr>
        <w:spacing w:after="60"/>
        <w:ind w:left="360" w:hanging="360"/>
        <w:widowControl w:val="1"/>
      </w:pPr>
      <w:r>
        <w:rPr>
          <w:rFonts w:ascii="Arial" w:hAnsi="Arial" w:eastAsia="Arial"/>
          <w:b/>
          <w:color w:val="0F172A"/>
          <w:sz w:val="20"/>
        </w:rPr>
        <w:t>4.</w:t>
      </w:r>
      <w:r>
        <w:rPr>
          <w:rFonts w:ascii="Arial" w:hAnsi="Arial" w:eastAsia="Arial"/>
          <w:color w:val="0F172A"/>
          <w:sz w:val="20"/>
        </w:rPr>
        <w:t xml:space="preserve">  Operate the workflow with close supervision and weekly result reviews.</w:t>
      </w:r>
    </w:p>
    <w:p>
      <w:pPr>
        <w:spacing w:after="60"/>
        <w:ind w:left="360" w:hanging="360"/>
        <w:widowControl w:val="1"/>
      </w:pPr>
      <w:r>
        <w:rPr>
          <w:rFonts w:ascii="Arial" w:hAnsi="Arial" w:eastAsia="Arial"/>
          <w:b/>
          <w:color w:val="0F172A"/>
          <w:sz w:val="20"/>
        </w:rPr>
        <w:t>5.</w:t>
      </w:r>
      <w:r>
        <w:rPr>
          <w:rFonts w:ascii="Arial" w:hAnsi="Arial" w:eastAsia="Arial"/>
          <w:color w:val="0F172A"/>
          <w:sz w:val="20"/>
        </w:rPr>
        <w:t xml:space="preserve">  Publish case studies only when the attribution and comparison are defensible.</w:t>
      </w:r>
    </w:p>
    <w:p>
      <w:pPr>
        <w:spacing w:after="60"/>
        <w:ind w:left="360" w:hanging="360"/>
        <w:widowControl w:val="1"/>
      </w:pPr>
      <w:r>
        <w:rPr>
          <w:rFonts w:ascii="Arial" w:hAnsi="Arial" w:eastAsia="Arial"/>
          <w:b/>
          <w:color w:val="0F172A"/>
          <w:sz w:val="20"/>
        </w:rPr>
        <w:t>6.</w:t>
      </w:r>
      <w:r>
        <w:rPr>
          <w:rFonts w:ascii="Arial" w:hAnsi="Arial" w:eastAsia="Arial"/>
          <w:color w:val="0F172A"/>
          <w:sz w:val="20"/>
        </w:rPr>
        <w:t xml:space="preserve">  Productize the repeated playbook, then expand to adjacent verticals with similar funnels.</w:t>
      </w:r>
    </w:p>
    <w:p>
      <w:pPr>
        <w:keepNext/>
        <w:spacing w:before="0" w:after="100"/>
        <w:widowControl w:val="1"/>
      </w:pPr>
      <w:r>
        <w:rPr>
          <w:rFonts w:ascii="Arial" w:hAnsi="Arial" w:eastAsia="Arial"/>
          <w:b/>
          <w:color w:val="0F172A"/>
          <w:sz w:val="38"/>
        </w:rPr>
        <w:t>10  Decisions to resolve with GPT Sol before execution</w:t>
      </w:r>
    </w:p>
    <w:p>
      <w:pPr>
        <w:keepNext/>
        <w:spacing w:after="160"/>
        <w:widowControl w:val="1"/>
      </w:pPr>
      <w:r>
        <w:rPr>
          <w:rFonts w:ascii="Arial" w:hAnsi="Arial" w:eastAsia="Arial"/>
          <w:color w:val="0F766E"/>
          <w:sz w:val="14"/>
        </w:rPr>
        <w:t>━━━━━━━━━━━━━━━━━━━━━━━━━━━━━━━━━━━━━━━━</w:t>
      </w:r>
    </w:p>
    <w:p>
      <w:pPr>
        <w:keepNext/>
        <w:spacing w:after="160"/>
        <w:widowControl w:val="1"/>
      </w:pPr>
      <w:r>
        <w:rPr>
          <w:rFonts w:ascii="Arial" w:hAnsi="Arial" w:eastAsia="Arial"/>
          <w:i/>
          <w:color w:val="64748B"/>
          <w:sz w:val="20"/>
        </w:rPr>
        <w:t>These are product choices, not merely engineering details.</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792"/>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Priority</w:t>
            </w:r>
          </w:p>
        </w:tc>
        <w:tc>
          <w:tcPr>
            <w:tcW w:type="dxa" w:w="2376"/>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Decision</w:t>
            </w:r>
          </w:p>
        </w:tc>
        <w:tc>
          <w:tcPr>
            <w:tcW w:type="dxa" w:w="3671"/>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Why it blocks execution</w:t>
            </w:r>
          </w:p>
        </w:tc>
        <w:tc>
          <w:tcPr>
            <w:tcW w:type="dxa" w:w="288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Recommended default</w:t>
            </w:r>
          </w:p>
        </w:tc>
      </w:tr>
      <w:tr>
        <w:trPr>
          <w:cantSplit/>
        </w:trPr>
        <w:tc>
          <w:tcPr>
            <w:tcW w:type="dxa" w:w="79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1</w:t>
            </w:r>
          </w:p>
        </w:tc>
        <w:tc>
          <w:tcPr>
            <w:tcW w:type="dxa" w:w="237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Exact first vertical and geography</w:t>
            </w:r>
          </w:p>
        </w:tc>
        <w:tc>
          <w:tcPr>
            <w:tcW w:type="dxa" w:w="3671"/>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Determines workflows, content, data, compliance, acquisition, and product language.</w:t>
            </w:r>
          </w:p>
        </w:tc>
        <w:tc>
          <w:tcPr>
            <w:tcW w:type="dxa" w:w="288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One appointment-based niche in India where direct design partners are available.</w:t>
            </w:r>
          </w:p>
        </w:tc>
      </w:tr>
      <w:tr>
        <w:trPr>
          <w:cantSplit/>
        </w:trPr>
        <w:tc>
          <w:tcPr>
            <w:tcW w:type="dxa" w:w="79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2</w:t>
            </w:r>
          </w:p>
        </w:tc>
        <w:tc>
          <w:tcPr>
            <w:tcW w:type="dxa" w:w="237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Primary outcome</w:t>
            </w:r>
          </w:p>
        </w:tc>
        <w:tc>
          <w:tcPr>
            <w:tcW w:type="dxa" w:w="3671"/>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Defines the funnel, analytics, pricing, and product promise.</w:t>
            </w:r>
          </w:p>
        </w:tc>
        <w:tc>
          <w:tcPr>
            <w:tcW w:type="dxa" w:w="288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Qualified attended booking or trial.</w:t>
            </w:r>
          </w:p>
        </w:tc>
      </w:tr>
      <w:tr>
        <w:trPr>
          <w:cantSplit/>
        </w:trPr>
        <w:tc>
          <w:tcPr>
            <w:tcW w:type="dxa" w:w="79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3</w:t>
            </w:r>
          </w:p>
        </w:tc>
        <w:tc>
          <w:tcPr>
            <w:tcW w:type="dxa" w:w="237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Initial organic and paid channels</w:t>
            </w:r>
          </w:p>
        </w:tc>
        <w:tc>
          <w:tcPr>
            <w:tcW w:type="dxa" w:w="3671"/>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Controls integration scope and creative formats.</w:t>
            </w:r>
          </w:p>
        </w:tc>
        <w:tc>
          <w:tcPr>
            <w:tcW w:type="dxa" w:w="288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Instagram + Facebook + WhatsApp + landing page; email secondary.</w:t>
            </w:r>
          </w:p>
        </w:tc>
      </w:tr>
      <w:tr>
        <w:trPr>
          <w:cantSplit/>
        </w:trPr>
        <w:tc>
          <w:tcPr>
            <w:tcW w:type="dxa" w:w="79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4</w:t>
            </w:r>
          </w:p>
        </w:tc>
        <w:tc>
          <w:tcPr>
            <w:tcW w:type="dxa" w:w="237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Paid ads in MVP</w:t>
            </w:r>
          </w:p>
        </w:tc>
        <w:tc>
          <w:tcPr>
            <w:tcW w:type="dxa" w:w="3671"/>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Adds account permissions, budget policy, ad review, attribution, and risk.</w:t>
            </w:r>
          </w:p>
        </w:tc>
        <w:tc>
          <w:tcPr>
            <w:tcW w:type="dxa" w:w="288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Support campaign assets and lead forms first; bounded launch only after controls are ready.</w:t>
            </w:r>
          </w:p>
        </w:tc>
      </w:tr>
      <w:tr>
        <w:trPr>
          <w:cantSplit/>
        </w:trPr>
        <w:tc>
          <w:tcPr>
            <w:tcW w:type="dxa" w:w="79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5</w:t>
            </w:r>
          </w:p>
        </w:tc>
        <w:tc>
          <w:tcPr>
            <w:tcW w:type="dxa" w:w="237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Publishing integration strategy</w:t>
            </w:r>
          </w:p>
        </w:tc>
        <w:tc>
          <w:tcPr>
            <w:tcW w:type="dxa" w:w="3671"/>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Affects speed, reliability, permissions, margins, and future control.</w:t>
            </w:r>
          </w:p>
        </w:tc>
        <w:tc>
          <w:tcPr>
            <w:tcW w:type="dxa" w:w="288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Adapter interface; unified provider for MVP, direct Meta integration where necessary.</w:t>
            </w:r>
          </w:p>
        </w:tc>
      </w:tr>
      <w:tr>
        <w:trPr>
          <w:cantSplit/>
        </w:trPr>
        <w:tc>
          <w:tcPr>
            <w:tcW w:type="dxa" w:w="79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6</w:t>
            </w:r>
          </w:p>
        </w:tc>
        <w:tc>
          <w:tcPr>
            <w:tcW w:type="dxa" w:w="237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Lead system boundary</w:t>
            </w:r>
          </w:p>
        </w:tc>
        <w:tc>
          <w:tcPr>
            <w:tcW w:type="dxa" w:w="3671"/>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Prevents accidental recreation of a full CRM.</w:t>
            </w:r>
          </w:p>
        </w:tc>
        <w:tc>
          <w:tcPr>
            <w:tcW w:type="dxa" w:w="288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Native light pipeline + CRM sync later.</w:t>
            </w:r>
          </w:p>
        </w:tc>
      </w:tr>
      <w:tr>
        <w:trPr>
          <w:cantSplit/>
        </w:trPr>
        <w:tc>
          <w:tcPr>
            <w:tcW w:type="dxa" w:w="79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7</w:t>
            </w:r>
          </w:p>
        </w:tc>
        <w:tc>
          <w:tcPr>
            <w:tcW w:type="dxa" w:w="237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WhatsApp and messaging policy</w:t>
            </w:r>
          </w:p>
        </w:tc>
        <w:tc>
          <w:tcPr>
            <w:tcW w:type="dxa" w:w="3671"/>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Determines consent, templates, operational costs, and follow-up design.</w:t>
            </w:r>
          </w:p>
        </w:tc>
        <w:tc>
          <w:tcPr>
            <w:tcW w:type="dxa" w:w="288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Official business APIs only; policy-aware message engine.</w:t>
            </w:r>
          </w:p>
        </w:tc>
      </w:tr>
      <w:tr>
        <w:trPr>
          <w:cantSplit/>
        </w:trPr>
        <w:tc>
          <w:tcPr>
            <w:tcW w:type="dxa" w:w="79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8</w:t>
            </w:r>
          </w:p>
        </w:tc>
        <w:tc>
          <w:tcPr>
            <w:tcW w:type="dxa" w:w="237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Model and agent architecture</w:t>
            </w:r>
          </w:p>
        </w:tc>
        <w:tc>
          <w:tcPr>
            <w:tcW w:type="dxa" w:w="3671"/>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Affects cost, reliability, evaluation, and vendor dependency.</w:t>
            </w:r>
          </w:p>
        </w:tc>
        <w:tc>
          <w:tcPr>
            <w:tcW w:type="dxa" w:w="288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Configurable model router; Sol for high-stakes reasoning, lower-cost models for volume.</w:t>
            </w:r>
          </w:p>
        </w:tc>
      </w:tr>
      <w:tr>
        <w:trPr>
          <w:cantSplit/>
        </w:trPr>
        <w:tc>
          <w:tcPr>
            <w:tcW w:type="dxa" w:w="792"/>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9</w:t>
            </w:r>
          </w:p>
        </w:tc>
        <w:tc>
          <w:tcPr>
            <w:tcW w:type="dxa" w:w="237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Hosting and data residency</w:t>
            </w:r>
          </w:p>
        </w:tc>
        <w:tc>
          <w:tcPr>
            <w:tcW w:type="dxa" w:w="3671"/>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Affects privacy, reliability, cost, and operations.</w:t>
            </w:r>
          </w:p>
        </w:tc>
        <w:tc>
          <w:tcPr>
            <w:tcW w:type="dxa" w:w="288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Managed services initially with explicit backup/export strategy.</w:t>
            </w:r>
          </w:p>
        </w:tc>
      </w:tr>
      <w:tr>
        <w:trPr>
          <w:cantSplit/>
        </w:trPr>
        <w:tc>
          <w:tcPr>
            <w:tcW w:type="dxa" w:w="792"/>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5"/>
              </w:rPr>
              <w:t>10</w:t>
            </w:r>
          </w:p>
        </w:tc>
        <w:tc>
          <w:tcPr>
            <w:tcW w:type="dxa" w:w="237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Pilot pricing and support model</w:t>
            </w:r>
          </w:p>
        </w:tc>
        <w:tc>
          <w:tcPr>
            <w:tcW w:type="dxa" w:w="3671"/>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Controls customer expectations and amount of manual service.</w:t>
            </w:r>
          </w:p>
        </w:tc>
        <w:tc>
          <w:tcPr>
            <w:tcW w:type="dxa" w:w="288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5"/>
              </w:rPr>
              <w:t>Paid onboarding + monthly managed pilot; usage visible.</w:t>
            </w:r>
          </w:p>
        </w:tc>
      </w:tr>
    </w:tbl>
    <w:p>
      <w:pPr>
        <w:spacing w:after="20"/>
        <w:widowControl w:val="1"/>
      </w:pPr>
    </w:p>
    <w:p>
      <w:pPr>
        <w:pStyle w:val="Heading2"/>
        <w:keepNext/>
        <w:spacing w:before="160" w:after="80"/>
        <w:widowControl w:val="1"/>
      </w:pPr>
      <w:r>
        <w:rPr>
          <w:rFonts w:ascii="Arial" w:hAnsi="Arial" w:eastAsia="Arial"/>
          <w:b/>
          <w:color w:val="0F766E"/>
          <w:sz w:val="26"/>
        </w:rPr>
        <w:t>Questions GPT Sol should challenge</w:t>
      </w:r>
    </w:p>
    <w:p>
      <w:pPr>
        <w:pStyle w:val="ListBullet"/>
        <w:spacing w:after="50"/>
        <w:ind w:left="288" w:hanging="173"/>
        <w:widowControl w:val="1"/>
      </w:pPr>
      <w:r>
        <w:rPr>
          <w:rFonts w:ascii="Arial" w:hAnsi="Arial" w:eastAsia="Arial"/>
          <w:color w:val="0F172A"/>
          <w:sz w:val="20"/>
        </w:rPr>
        <w:t>Is the selected vertical painful and valuable enough, or merely convenient for us?</w:t>
      </w:r>
    </w:p>
    <w:p>
      <w:pPr>
        <w:pStyle w:val="ListBullet"/>
        <w:spacing w:after="50"/>
        <w:ind w:left="288" w:hanging="173"/>
        <w:widowControl w:val="1"/>
      </w:pPr>
      <w:r>
        <w:rPr>
          <w:rFonts w:ascii="Arial" w:hAnsi="Arial" w:eastAsia="Arial"/>
          <w:color w:val="0F172A"/>
          <w:sz w:val="20"/>
        </w:rPr>
        <w:t>Can we access verified downstream outcomes, or will the product be forced back to vanity metrics?</w:t>
      </w:r>
    </w:p>
    <w:p>
      <w:pPr>
        <w:pStyle w:val="ListBullet"/>
        <w:spacing w:after="50"/>
        <w:ind w:left="288" w:hanging="173"/>
        <w:widowControl w:val="1"/>
      </w:pPr>
      <w:r>
        <w:rPr>
          <w:rFonts w:ascii="Arial" w:hAnsi="Arial" w:eastAsia="Arial"/>
          <w:color w:val="0F172A"/>
          <w:sz w:val="20"/>
        </w:rPr>
        <w:t>Which component is the genuine wedge: campaign planning, lead conversion, vertical playbooks, or agency-style service?</w:t>
      </w:r>
    </w:p>
    <w:p>
      <w:pPr>
        <w:pStyle w:val="ListBullet"/>
        <w:spacing w:after="50"/>
        <w:ind w:left="288" w:hanging="173"/>
        <w:widowControl w:val="1"/>
      </w:pPr>
      <w:r>
        <w:rPr>
          <w:rFonts w:ascii="Arial" w:hAnsi="Arial" w:eastAsia="Arial"/>
          <w:color w:val="0F172A"/>
          <w:sz w:val="20"/>
        </w:rPr>
        <w:t>What could Meta, HighLevel, HubSpot, or a vertical CRM copy quickly, and what data/workflow advantage remains?</w:t>
      </w:r>
    </w:p>
    <w:p>
      <w:pPr>
        <w:pStyle w:val="ListBullet"/>
        <w:spacing w:after="50"/>
        <w:ind w:left="288" w:hanging="173"/>
        <w:widowControl w:val="1"/>
      </w:pPr>
      <w:r>
        <w:rPr>
          <w:rFonts w:ascii="Arial" w:hAnsi="Arial" w:eastAsia="Arial"/>
          <w:color w:val="0F172A"/>
          <w:sz w:val="20"/>
        </w:rPr>
        <w:t>Which integrations are likely to delay launch because of platform review, policy, or permission requirements?</w:t>
      </w:r>
    </w:p>
    <w:p>
      <w:pPr>
        <w:pStyle w:val="ListBullet"/>
        <w:spacing w:after="50"/>
        <w:ind w:left="288" w:hanging="173"/>
        <w:widowControl w:val="1"/>
      </w:pPr>
      <w:r>
        <w:rPr>
          <w:rFonts w:ascii="Arial" w:hAnsi="Arial" w:eastAsia="Arial"/>
          <w:color w:val="0F172A"/>
          <w:sz w:val="20"/>
        </w:rPr>
        <w:t>What failure would permanently damage customer trust, and how do we prevent it by design?</w:t>
      </w:r>
    </w:p>
    <w:p>
      <w:pPr>
        <w:pStyle w:val="ListBullet"/>
        <w:spacing w:after="50"/>
        <w:ind w:left="288" w:hanging="173"/>
        <w:widowControl w:val="1"/>
      </w:pPr>
      <w:r>
        <w:rPr>
          <w:rFonts w:ascii="Arial" w:hAnsi="Arial" w:eastAsia="Arial"/>
          <w:color w:val="0F172A"/>
          <w:sz w:val="20"/>
        </w:rPr>
        <w:t>Can a solo founder support the operational load of messaging, publishing, and customer success?</w:t>
      </w:r>
    </w:p>
    <w:p>
      <w:pPr>
        <w:pStyle w:val="ListBullet"/>
        <w:spacing w:after="50"/>
        <w:ind w:left="288" w:hanging="173"/>
        <w:widowControl w:val="1"/>
      </w:pPr>
      <w:r>
        <w:rPr>
          <w:rFonts w:ascii="Arial" w:hAnsi="Arial" w:eastAsia="Arial"/>
          <w:color w:val="0F172A"/>
          <w:sz w:val="20"/>
        </w:rPr>
        <w:t>Which P0 feature can be bought or integrated instead of built without sacrificing the moat?</w:t>
      </w:r>
    </w:p>
    <w:p>
      <w:pPr>
        <w:pStyle w:val="Heading2"/>
        <w:keepNext/>
        <w:spacing w:before="160" w:after="80"/>
        <w:widowControl w:val="1"/>
      </w:pPr>
      <w:r>
        <w:rPr>
          <w:rFonts w:ascii="Arial" w:hAnsi="Arial" w:eastAsia="Arial"/>
          <w:b/>
          <w:color w:val="0F766E"/>
          <w:sz w:val="26"/>
        </w:rPr>
        <w:t>Definition of ready for development</w:t>
      </w:r>
    </w:p>
    <w:tbl>
      <w:tblPr>
        <w:tblW w:type="auto" w:w="0"/>
        <w:jc w:val="center"/>
        <w:tblLayout w:type="fixed"/>
        <w:tblLook w:firstColumn="1" w:firstRow="1" w:lastColumn="0" w:lastRow="0" w:noHBand="0" w:noVBand="1" w:val="04A0"/>
      </w:tblPr>
      <w:tblGrid>
        <w:gridCol w:w="9835"/>
      </w:tblGrid>
      <w:tr>
        <w:trPr>
          <w:cantSplit/>
        </w:trPr>
        <w:tc>
          <w:tcPr>
            <w:tcW w:type="dxa" w:w="9720"/>
            <w:shd w:fill="FEF3C7"/>
            <w:tcMar>
              <w:top w:w="120" w:type="dxa"/>
              <w:start w:w="150" w:type="dxa"/>
              <w:bottom w:w="120" w:type="dxa"/>
              <w:end w:w="150" w:type="dxa"/>
            </w:tcMar>
            <w:tcBorders>
              <w:top w:val="nil"/>
              <w:start w:val="single" w:sz="18" w:color="B45309"/>
              <w:bottom w:val="nil"/>
              <w:end w:val="nil"/>
            </w:tcBorders>
          </w:tcPr>
          <w:p>
            <w:pPr>
              <w:spacing w:after="60"/>
            </w:pPr>
            <w:r>
              <w:rPr>
                <w:rFonts w:ascii="Arial" w:hAnsi="Arial" w:eastAsia="Arial"/>
                <w:b/>
                <w:color w:val="B45309"/>
                <w:sz w:val="21"/>
              </w:rPr>
              <w:t>Do not start the main build until</w:t>
            </w:r>
          </w:p>
          <w:p>
            <w:pPr>
              <w:spacing w:after="0"/>
            </w:pPr>
            <w:r>
              <w:rPr>
                <w:rFonts w:ascii="Arial" w:hAnsi="Arial" w:eastAsia="Arial"/>
                <w:color w:val="0F172A"/>
                <w:sz w:val="19"/>
              </w:rPr>
              <w:t>The initial vertical, outcome, channel scope, MVP boundary, lead-system boundary, publishing approach, messaging approach, architecture, pilot customer list, and acceptance metrics are written and approved. Small prototypes may be used to reduce uncertainty before this point.</w:t>
            </w:r>
          </w:p>
        </w:tc>
      </w:tr>
    </w:tbl>
    <w:p>
      <w:pPr>
        <w:spacing w:after="20"/>
        <w:widowControl w:val="1"/>
      </w:pPr>
    </w:p>
    <w:p>
      <w:pPr>
        <w:keepNext/>
        <w:spacing w:before="0" w:after="100"/>
        <w:widowControl w:val="1"/>
      </w:pPr>
      <w:r>
        <w:rPr>
          <w:rFonts w:ascii="Arial" w:hAnsi="Arial" w:eastAsia="Arial"/>
          <w:b/>
          <w:color w:val="0F172A"/>
          <w:sz w:val="38"/>
        </w:rPr>
        <w:t>11  Prompt pack for discussion and execution</w:t>
      </w:r>
    </w:p>
    <w:p>
      <w:pPr>
        <w:keepNext/>
        <w:spacing w:after="160"/>
        <w:widowControl w:val="1"/>
      </w:pPr>
      <w:r>
        <w:rPr>
          <w:rFonts w:ascii="Arial" w:hAnsi="Arial" w:eastAsia="Arial"/>
          <w:color w:val="0F766E"/>
          <w:sz w:val="14"/>
        </w:rPr>
        <w:t>━━━━━━━━━━━━━━━━━━━━━━━━━━━━━━━━━━━━━━━━</w:t>
      </w:r>
    </w:p>
    <w:p>
      <w:pPr>
        <w:keepNext/>
        <w:spacing w:after="160"/>
        <w:widowControl w:val="1"/>
      </w:pPr>
      <w:r>
        <w:rPr>
          <w:rFonts w:ascii="Arial" w:hAnsi="Arial" w:eastAsia="Arial"/>
          <w:i/>
          <w:color w:val="64748B"/>
          <w:sz w:val="20"/>
        </w:rPr>
        <w:t>Use these prompts as starting points; keep final decisions in the repository.</w:t>
      </w:r>
    </w:p>
    <w:p>
      <w:pPr>
        <w:pStyle w:val="Heading2"/>
        <w:keepNext/>
        <w:spacing w:before="160" w:after="80"/>
        <w:widowControl w:val="1"/>
      </w:pPr>
      <w:r>
        <w:rPr>
          <w:rFonts w:ascii="Arial" w:hAnsi="Arial" w:eastAsia="Arial"/>
          <w:b/>
          <w:color w:val="0F766E"/>
          <w:sz w:val="26"/>
        </w:rPr>
        <w:t>A. Strategy challenge prompt</w:t>
      </w:r>
    </w:p>
    <w:tbl>
      <w:tblPr>
        <w:tblW w:type="auto" w:w="0"/>
        <w:jc w:val="center"/>
        <w:tblLayout w:type="fixed"/>
        <w:tblLook w:firstColumn="1" w:firstRow="1" w:lastColumn="0" w:lastRow="0" w:noHBand="0" w:noVBand="1" w:val="04A0"/>
      </w:tblPr>
      <w:tblGrid>
        <w:gridCol w:w="9835"/>
      </w:tblGrid>
      <w:tr>
        <w:trPr>
          <w:cantSplit/>
        </w:trPr>
        <w:tc>
          <w:tcPr>
            <w:tcW w:type="dxa" w:w="9720"/>
            <w:shd w:fill="F1F5F9"/>
            <w:tcBorders>
              <w:top w:val="single" w:sz="6" w:color="CBD5E1"/>
              <w:start w:val="single" w:sz="6" w:color="CBD5E1"/>
              <w:bottom w:val="single" w:sz="6" w:color="CBD5E1"/>
              <w:end w:val="single" w:sz="6" w:color="CBD5E1"/>
            </w:tcBorders>
            <w:tcMar>
              <w:top w:w="100" w:type="dxa"/>
              <w:start w:w="130" w:type="dxa"/>
              <w:bottom w:w="100" w:type="dxa"/>
              <w:end w:w="130" w:type="dxa"/>
            </w:tcMar>
          </w:tcPr>
          <w:p>
            <w:pPr>
              <w:spacing w:after="0"/>
            </w:pPr>
            <w:r>
              <w:rPr>
                <w:rFonts w:ascii="Courier New" w:hAnsi="Courier New" w:eastAsia="Courier New"/>
                <w:color w:val="1E293B"/>
                <w:sz w:val="17"/>
              </w:rPr>
              <w:t>Using the attached master brief, act as a skeptical investment committee and product strategist.</w:t>
            </w:r>
            <w:r>
              <w:br/>
            </w:r>
            <w:r>
              <w:rPr>
                <w:rFonts w:ascii="Courier New" w:hAnsi="Courier New" w:eastAsia="Courier New"/>
                <w:color w:val="1E293B"/>
                <w:sz w:val="17"/>
              </w:rPr>
            </w:r>
            <w:r>
              <w:br/>
            </w:r>
            <w:r>
              <w:rPr>
                <w:rFonts w:ascii="Courier New" w:hAnsi="Courier New" w:eastAsia="Courier New"/>
                <w:color w:val="1E293B"/>
                <w:sz w:val="17"/>
              </w:rPr>
              <w:t>Evaluate:</w:t>
            </w:r>
            <w:r>
              <w:br/>
            </w:r>
            <w:r>
              <w:rPr>
                <w:rFonts w:ascii="Courier New" w:hAnsi="Courier New" w:eastAsia="Courier New"/>
                <w:color w:val="1E293B"/>
                <w:sz w:val="17"/>
              </w:rPr>
              <w:t>- the customer pain and willingness to pay,</w:t>
            </w:r>
            <w:r>
              <w:br/>
            </w:r>
            <w:r>
              <w:rPr>
                <w:rFonts w:ascii="Courier New" w:hAnsi="Courier New" w:eastAsia="Courier New"/>
                <w:color w:val="1E293B"/>
                <w:sz w:val="17"/>
              </w:rPr>
              <w:t>- the first vertical and outcome,</w:t>
            </w:r>
            <w:r>
              <w:br/>
            </w:r>
            <w:r>
              <w:rPr>
                <w:rFonts w:ascii="Courier New" w:hAnsi="Courier New" w:eastAsia="Courier New"/>
                <w:color w:val="1E293B"/>
                <w:sz w:val="17"/>
              </w:rPr>
              <w:t>- competitive threats from Ocoya, HighLevel, HubSpot, Meta, and vertical CRMs,</w:t>
            </w:r>
            <w:r>
              <w:br/>
            </w:r>
            <w:r>
              <w:rPr>
                <w:rFonts w:ascii="Courier New" w:hAnsi="Courier New" w:eastAsia="Courier New"/>
                <w:color w:val="1E293B"/>
                <w:sz w:val="17"/>
              </w:rPr>
              <w:t>- the minimum wedge that can produce a defensible customer result,</w:t>
            </w:r>
            <w:r>
              <w:br/>
            </w:r>
            <w:r>
              <w:rPr>
                <w:rFonts w:ascii="Courier New" w:hAnsi="Courier New" w:eastAsia="Courier New"/>
                <w:color w:val="1E293B"/>
                <w:sz w:val="17"/>
              </w:rPr>
              <w:t>- the risks of building too broad a product.</w:t>
            </w:r>
            <w:r>
              <w:br/>
            </w:r>
            <w:r>
              <w:rPr>
                <w:rFonts w:ascii="Courier New" w:hAnsi="Courier New" w:eastAsia="Courier New"/>
                <w:color w:val="1E293B"/>
                <w:sz w:val="17"/>
              </w:rPr>
            </w:r>
            <w:r>
              <w:br/>
            </w:r>
            <w:r>
              <w:rPr>
                <w:rFonts w:ascii="Courier New" w:hAnsi="Courier New" w:eastAsia="Courier New"/>
                <w:color w:val="1E293B"/>
                <w:sz w:val="17"/>
              </w:rPr>
              <w:t>Return a scorecard, the strongest objections, evidence needed to resolve them, and one recommended positioning statement. Do not flatter the idea.</w:t>
            </w:r>
          </w:p>
        </w:tc>
      </w:tr>
    </w:tbl>
    <w:p>
      <w:pPr>
        <w:spacing w:after="20"/>
        <w:widowControl w:val="1"/>
      </w:pPr>
    </w:p>
    <w:p>
      <w:pPr>
        <w:pStyle w:val="Heading2"/>
        <w:keepNext/>
        <w:spacing w:before="160" w:after="80"/>
        <w:widowControl w:val="1"/>
      </w:pPr>
      <w:r>
        <w:rPr>
          <w:rFonts w:ascii="Arial" w:hAnsi="Arial" w:eastAsia="Arial"/>
          <w:b/>
          <w:color w:val="0F766E"/>
          <w:sz w:val="26"/>
        </w:rPr>
        <w:t>B. Architecture decision prompt</w:t>
      </w:r>
    </w:p>
    <w:tbl>
      <w:tblPr>
        <w:tblW w:type="auto" w:w="0"/>
        <w:jc w:val="center"/>
        <w:tblLayout w:type="fixed"/>
        <w:tblLook w:firstColumn="1" w:firstRow="1" w:lastColumn="0" w:lastRow="0" w:noHBand="0" w:noVBand="1" w:val="04A0"/>
      </w:tblPr>
      <w:tblGrid>
        <w:gridCol w:w="9835"/>
      </w:tblGrid>
      <w:tr>
        <w:trPr>
          <w:cantSplit/>
        </w:trPr>
        <w:tc>
          <w:tcPr>
            <w:tcW w:type="dxa" w:w="9720"/>
            <w:shd w:fill="F1F5F9"/>
            <w:tcBorders>
              <w:top w:val="single" w:sz="6" w:color="CBD5E1"/>
              <w:start w:val="single" w:sz="6" w:color="CBD5E1"/>
              <w:bottom w:val="single" w:sz="6" w:color="CBD5E1"/>
              <w:end w:val="single" w:sz="6" w:color="CBD5E1"/>
            </w:tcBorders>
            <w:tcMar>
              <w:top w:w="100" w:type="dxa"/>
              <w:start w:w="130" w:type="dxa"/>
              <w:bottom w:w="100" w:type="dxa"/>
              <w:end w:w="130" w:type="dxa"/>
            </w:tcMar>
          </w:tcPr>
          <w:p>
            <w:pPr>
              <w:spacing w:after="0"/>
            </w:pPr>
            <w:r>
              <w:rPr>
                <w:rFonts w:ascii="Courier New" w:hAnsi="Courier New" w:eastAsia="Courier New"/>
                <w:color w:val="1E293B"/>
                <w:sz w:val="17"/>
              </w:rPr>
              <w:t>Act as the principal architect for this product.</w:t>
            </w:r>
            <w:r>
              <w:br/>
            </w:r>
            <w:r>
              <w:rPr>
                <w:rFonts w:ascii="Courier New" w:hAnsi="Courier New" w:eastAsia="Courier New"/>
                <w:color w:val="1E293B"/>
                <w:sz w:val="17"/>
              </w:rPr>
            </w:r>
            <w:r>
              <w:br/>
            </w:r>
            <w:r>
              <w:rPr>
                <w:rFonts w:ascii="Courier New" w:hAnsi="Courier New" w:eastAsia="Courier New"/>
                <w:color w:val="1E293B"/>
                <w:sz w:val="17"/>
              </w:rPr>
              <w:t>Based on the approved product scope:</w:t>
            </w:r>
            <w:r>
              <w:br/>
            </w:r>
            <w:r>
              <w:rPr>
                <w:rFonts w:ascii="Courier New" w:hAnsi="Courier New" w:eastAsia="Courier New"/>
                <w:color w:val="1E293B"/>
                <w:sz w:val="17"/>
              </w:rPr>
              <w:t>1. Propose a modular-monolith architecture and data model.</w:t>
            </w:r>
            <w:r>
              <w:br/>
            </w:r>
            <w:r>
              <w:rPr>
                <w:rFonts w:ascii="Courier New" w:hAnsi="Courier New" w:eastAsia="Courier New"/>
                <w:color w:val="1E293B"/>
                <w:sz w:val="17"/>
              </w:rPr>
              <w:t>2. Define agent boundaries versus deterministic services.</w:t>
            </w:r>
            <w:r>
              <w:br/>
            </w:r>
            <w:r>
              <w:rPr>
                <w:rFonts w:ascii="Courier New" w:hAnsi="Courier New" w:eastAsia="Courier New"/>
                <w:color w:val="1E293B"/>
                <w:sz w:val="17"/>
              </w:rPr>
              <w:t>3. Recommend build-vs-buy choices for social publishing, WhatsApp, auth, jobs, storage, analytics, and billing.</w:t>
            </w:r>
            <w:r>
              <w:br/>
            </w:r>
            <w:r>
              <w:rPr>
                <w:rFonts w:ascii="Courier New" w:hAnsi="Courier New" w:eastAsia="Courier New"/>
                <w:color w:val="1E293B"/>
                <w:sz w:val="17"/>
              </w:rPr>
              <w:t>4. Identify platform-review and compliance dependencies.</w:t>
            </w:r>
            <w:r>
              <w:br/>
            </w:r>
            <w:r>
              <w:rPr>
                <w:rFonts w:ascii="Courier New" w:hAnsi="Courier New" w:eastAsia="Courier New"/>
                <w:color w:val="1E293B"/>
                <w:sz w:val="17"/>
              </w:rPr>
              <w:t>5. Define the failure model, idempotency strategy, audit requirements, and human-approval controls.</w:t>
            </w:r>
            <w:r>
              <w:br/>
            </w:r>
            <w:r>
              <w:rPr>
                <w:rFonts w:ascii="Courier New" w:hAnsi="Courier New" w:eastAsia="Courier New"/>
                <w:color w:val="1E293B"/>
                <w:sz w:val="17"/>
              </w:rPr>
              <w:t>6. Produce ADRs for the five most important decisions.</w:t>
            </w:r>
            <w:r>
              <w:br/>
            </w:r>
            <w:r>
              <w:rPr>
                <w:rFonts w:ascii="Courier New" w:hAnsi="Courier New" w:eastAsia="Courier New"/>
                <w:color w:val="1E293B"/>
                <w:sz w:val="17"/>
              </w:rPr>
            </w:r>
            <w:r>
              <w:br/>
            </w:r>
            <w:r>
              <w:rPr>
                <w:rFonts w:ascii="Courier New" w:hAnsi="Courier New" w:eastAsia="Courier New"/>
                <w:color w:val="1E293B"/>
                <w:sz w:val="17"/>
              </w:rPr>
              <w:t>Optimize for a solo founder on a MacBook using Cursor and Hermes, but do not sacrifice production safety.</w:t>
            </w:r>
          </w:p>
        </w:tc>
      </w:tr>
    </w:tbl>
    <w:p>
      <w:pPr>
        <w:spacing w:after="20"/>
        <w:widowControl w:val="1"/>
      </w:pPr>
    </w:p>
    <w:p>
      <w:pPr>
        <w:pStyle w:val="Heading2"/>
        <w:keepNext/>
        <w:spacing w:before="160" w:after="80"/>
        <w:widowControl w:val="1"/>
      </w:pPr>
      <w:r>
        <w:rPr>
          <w:rFonts w:ascii="Arial" w:hAnsi="Arial" w:eastAsia="Arial"/>
          <w:b/>
          <w:color w:val="0F766E"/>
          <w:sz w:val="26"/>
        </w:rPr>
        <w:t>C. MVP breakdown prompt</w:t>
      </w:r>
    </w:p>
    <w:tbl>
      <w:tblPr>
        <w:tblW w:type="auto" w:w="0"/>
        <w:jc w:val="center"/>
        <w:tblLayout w:type="fixed"/>
        <w:tblLook w:firstColumn="1" w:firstRow="1" w:lastColumn="0" w:lastRow="0" w:noHBand="0" w:noVBand="1" w:val="04A0"/>
      </w:tblPr>
      <w:tblGrid>
        <w:gridCol w:w="9835"/>
      </w:tblGrid>
      <w:tr>
        <w:trPr>
          <w:cantSplit/>
        </w:trPr>
        <w:tc>
          <w:tcPr>
            <w:tcW w:type="dxa" w:w="9720"/>
            <w:shd w:fill="F1F5F9"/>
            <w:tcBorders>
              <w:top w:val="single" w:sz="6" w:color="CBD5E1"/>
              <w:start w:val="single" w:sz="6" w:color="CBD5E1"/>
              <w:bottom w:val="single" w:sz="6" w:color="CBD5E1"/>
              <w:end w:val="single" w:sz="6" w:color="CBD5E1"/>
            </w:tcBorders>
            <w:tcMar>
              <w:top w:w="100" w:type="dxa"/>
              <w:start w:w="130" w:type="dxa"/>
              <w:bottom w:w="100" w:type="dxa"/>
              <w:end w:w="130" w:type="dxa"/>
            </w:tcMar>
          </w:tcPr>
          <w:p>
            <w:pPr>
              <w:spacing w:after="0"/>
            </w:pPr>
            <w:r>
              <w:rPr>
                <w:rFonts w:ascii="Courier New" w:hAnsi="Courier New" w:eastAsia="Courier New"/>
                <w:color w:val="1E293B"/>
                <w:sz w:val="17"/>
              </w:rPr>
              <w:t>Convert the approved master brief and architecture into an execution backlog.</w:t>
            </w:r>
            <w:r>
              <w:br/>
            </w:r>
            <w:r>
              <w:rPr>
                <w:rFonts w:ascii="Courier New" w:hAnsi="Courier New" w:eastAsia="Courier New"/>
                <w:color w:val="1E293B"/>
                <w:sz w:val="17"/>
              </w:rPr>
            </w:r>
            <w:r>
              <w:br/>
            </w:r>
            <w:r>
              <w:rPr>
                <w:rFonts w:ascii="Courier New" w:hAnsi="Courier New" w:eastAsia="Courier New"/>
                <w:color w:val="1E293B"/>
                <w:sz w:val="17"/>
              </w:rPr>
              <w:t>Create:</w:t>
            </w:r>
            <w:r>
              <w:br/>
            </w:r>
            <w:r>
              <w:rPr>
                <w:rFonts w:ascii="Courier New" w:hAnsi="Courier New" w:eastAsia="Courier New"/>
                <w:color w:val="1E293B"/>
                <w:sz w:val="17"/>
              </w:rPr>
              <w:t>- epics and small vertical slices,</w:t>
            </w:r>
            <w:r>
              <w:br/>
            </w:r>
            <w:r>
              <w:rPr>
                <w:rFonts w:ascii="Courier New" w:hAnsi="Courier New" w:eastAsia="Courier New"/>
                <w:color w:val="1E293B"/>
                <w:sz w:val="17"/>
              </w:rPr>
              <w:t>- user stories with acceptance criteria,</w:t>
            </w:r>
            <w:r>
              <w:br/>
            </w:r>
            <w:r>
              <w:rPr>
                <w:rFonts w:ascii="Courier New" w:hAnsi="Courier New" w:eastAsia="Courier New"/>
                <w:color w:val="1E293B"/>
                <w:sz w:val="17"/>
              </w:rPr>
              <w:t>- database and integration dependencies,</w:t>
            </w:r>
            <w:r>
              <w:br/>
            </w:r>
            <w:r>
              <w:rPr>
                <w:rFonts w:ascii="Courier New" w:hAnsi="Courier New" w:eastAsia="Courier New"/>
                <w:color w:val="1E293B"/>
                <w:sz w:val="17"/>
              </w:rPr>
              <w:t>- test requirements,</w:t>
            </w:r>
            <w:r>
              <w:br/>
            </w:r>
            <w:r>
              <w:rPr>
                <w:rFonts w:ascii="Courier New" w:hAnsi="Courier New" w:eastAsia="Courier New"/>
                <w:color w:val="1E293B"/>
                <w:sz w:val="17"/>
              </w:rPr>
              <w:t>- release gates,</w:t>
            </w:r>
            <w:r>
              <w:br/>
            </w:r>
            <w:r>
              <w:rPr>
                <w:rFonts w:ascii="Courier New" w:hAnsi="Courier New" w:eastAsia="Courier New"/>
                <w:color w:val="1E293B"/>
                <w:sz w:val="17"/>
              </w:rPr>
              <w:t>- a critical path,</w:t>
            </w:r>
            <w:r>
              <w:br/>
            </w:r>
            <w:r>
              <w:rPr>
                <w:rFonts w:ascii="Courier New" w:hAnsi="Courier New" w:eastAsia="Courier New"/>
                <w:color w:val="1E293B"/>
                <w:sz w:val="17"/>
              </w:rPr>
              <w:t>- explicit out-of-scope items.</w:t>
            </w:r>
            <w:r>
              <w:br/>
            </w:r>
            <w:r>
              <w:rPr>
                <w:rFonts w:ascii="Courier New" w:hAnsi="Courier New" w:eastAsia="Courier New"/>
                <w:color w:val="1E293B"/>
                <w:sz w:val="17"/>
              </w:rPr>
            </w:r>
            <w:r>
              <w:br/>
            </w:r>
            <w:r>
              <w:rPr>
                <w:rFonts w:ascii="Courier New" w:hAnsi="Courier New" w:eastAsia="Courier New"/>
                <w:color w:val="1E293B"/>
                <w:sz w:val="17"/>
              </w:rPr>
              <w:t>The first demo must complete one real loop: business context → campaign → approved content → publish → lead capture → qualification → booking → outcome report.</w:t>
            </w:r>
            <w:r>
              <w:br/>
            </w:r>
            <w:r>
              <w:rPr>
                <w:rFonts w:ascii="Courier New" w:hAnsi="Courier New" w:eastAsia="Courier New"/>
                <w:color w:val="1E293B"/>
                <w:sz w:val="17"/>
              </w:rPr>
              <w:t>Do not create tasks that cannot be independently tested.</w:t>
            </w:r>
          </w:p>
        </w:tc>
      </w:tr>
    </w:tbl>
    <w:p>
      <w:pPr>
        <w:spacing w:after="20"/>
        <w:widowControl w:val="1"/>
      </w:pPr>
    </w:p>
    <w:p>
      <w:pPr>
        <w:pStyle w:val="Heading2"/>
        <w:keepNext/>
        <w:spacing w:before="160" w:after="80"/>
        <w:widowControl w:val="1"/>
      </w:pPr>
      <w:r>
        <w:rPr>
          <w:rFonts w:ascii="Arial" w:hAnsi="Arial" w:eastAsia="Arial"/>
          <w:b/>
          <w:color w:val="0F766E"/>
          <w:sz w:val="26"/>
        </w:rPr>
        <w:t>D. Cursor implementation prompt template</w:t>
      </w:r>
    </w:p>
    <w:tbl>
      <w:tblPr>
        <w:tblW w:type="auto" w:w="0"/>
        <w:jc w:val="center"/>
        <w:tblLayout w:type="fixed"/>
        <w:tblLook w:firstColumn="1" w:firstRow="1" w:lastColumn="0" w:lastRow="0" w:noHBand="0" w:noVBand="1" w:val="04A0"/>
      </w:tblPr>
      <w:tblGrid>
        <w:gridCol w:w="9835"/>
      </w:tblGrid>
      <w:tr>
        <w:trPr>
          <w:cantSplit/>
        </w:trPr>
        <w:tc>
          <w:tcPr>
            <w:tcW w:type="dxa" w:w="9720"/>
            <w:shd w:fill="F1F5F9"/>
            <w:tcBorders>
              <w:top w:val="single" w:sz="6" w:color="CBD5E1"/>
              <w:start w:val="single" w:sz="6" w:color="CBD5E1"/>
              <w:bottom w:val="single" w:sz="6" w:color="CBD5E1"/>
              <w:end w:val="single" w:sz="6" w:color="CBD5E1"/>
            </w:tcBorders>
            <w:tcMar>
              <w:top w:w="100" w:type="dxa"/>
              <w:start w:w="130" w:type="dxa"/>
              <w:bottom w:w="100" w:type="dxa"/>
              <w:end w:w="130" w:type="dxa"/>
            </w:tcMar>
          </w:tcPr>
          <w:p>
            <w:pPr>
              <w:spacing w:after="0"/>
            </w:pPr>
            <w:r>
              <w:rPr>
                <w:rFonts w:ascii="Courier New" w:hAnsi="Courier New" w:eastAsia="Courier New"/>
                <w:color w:val="1E293B"/>
                <w:sz w:val="17"/>
              </w:rPr>
              <w:t>Read AGENTS.md, the master brief, the relevant ADRs, and this issue.</w:t>
            </w:r>
            <w:r>
              <w:br/>
            </w:r>
            <w:r>
              <w:rPr>
                <w:rFonts w:ascii="Courier New" w:hAnsi="Courier New" w:eastAsia="Courier New"/>
                <w:color w:val="1E293B"/>
                <w:sz w:val="17"/>
              </w:rPr>
            </w:r>
            <w:r>
              <w:br/>
            </w:r>
            <w:r>
              <w:rPr>
                <w:rFonts w:ascii="Courier New" w:hAnsi="Courier New" w:eastAsia="Courier New"/>
                <w:color w:val="1E293B"/>
                <w:sz w:val="17"/>
              </w:rPr>
              <w:t>Before editing:</w:t>
            </w:r>
            <w:r>
              <w:br/>
            </w:r>
            <w:r>
              <w:rPr>
                <w:rFonts w:ascii="Courier New" w:hAnsi="Courier New" w:eastAsia="Courier New"/>
                <w:color w:val="1E293B"/>
                <w:sz w:val="17"/>
              </w:rPr>
              <w:t>- restate the acceptance criteria,</w:t>
            </w:r>
            <w:r>
              <w:br/>
            </w:r>
            <w:r>
              <w:rPr>
                <w:rFonts w:ascii="Courier New" w:hAnsi="Courier New" w:eastAsia="Courier New"/>
                <w:color w:val="1E293B"/>
                <w:sz w:val="17"/>
              </w:rPr>
              <w:t>- identify affected modules and data migrations,</w:t>
            </w:r>
            <w:r>
              <w:br/>
            </w:r>
            <w:r>
              <w:rPr>
                <w:rFonts w:ascii="Courier New" w:hAnsi="Courier New" w:eastAsia="Courier New"/>
                <w:color w:val="1E293B"/>
                <w:sz w:val="17"/>
              </w:rPr>
              <w:t>- list risks and tests,</w:t>
            </w:r>
            <w:r>
              <w:br/>
            </w:r>
            <w:r>
              <w:rPr>
                <w:rFonts w:ascii="Courier New" w:hAnsi="Courier New" w:eastAsia="Courier New"/>
                <w:color w:val="1E293B"/>
                <w:sz w:val="17"/>
              </w:rPr>
              <w:t>- propose the smallest implementation plan.</w:t>
            </w:r>
            <w:r>
              <w:br/>
            </w:r>
            <w:r>
              <w:rPr>
                <w:rFonts w:ascii="Courier New" w:hAnsi="Courier New" w:eastAsia="Courier New"/>
                <w:color w:val="1E293B"/>
                <w:sz w:val="17"/>
              </w:rPr>
            </w:r>
            <w:r>
              <w:br/>
            </w:r>
            <w:r>
              <w:rPr>
                <w:rFonts w:ascii="Courier New" w:hAnsi="Courier New" w:eastAsia="Courier New"/>
                <w:color w:val="1E293B"/>
                <w:sz w:val="17"/>
              </w:rPr>
              <w:t>Then implement only the approved scope on the current feature branch.</w:t>
            </w:r>
            <w:r>
              <w:br/>
            </w:r>
            <w:r>
              <w:rPr>
                <w:rFonts w:ascii="Courier New" w:hAnsi="Courier New" w:eastAsia="Courier New"/>
                <w:color w:val="1E293B"/>
                <w:sz w:val="17"/>
              </w:rPr>
              <w:t>Run formatting, type checks, tests, and relevant end-to-end checks.</w:t>
            </w:r>
            <w:r>
              <w:br/>
            </w:r>
            <w:r>
              <w:rPr>
                <w:rFonts w:ascii="Courier New" w:hAnsi="Courier New" w:eastAsia="Courier New"/>
                <w:color w:val="1E293B"/>
                <w:sz w:val="17"/>
              </w:rPr>
              <w:t>Return: files changed, behavior added, tests run, unresolved risks, and documentation updated.</w:t>
            </w:r>
            <w:r>
              <w:br/>
            </w:r>
            <w:r>
              <w:rPr>
                <w:rFonts w:ascii="Courier New" w:hAnsi="Courier New" w:eastAsia="Courier New"/>
                <w:color w:val="1E293B"/>
                <w:sz w:val="17"/>
              </w:rPr>
              <w:t>Do not expose secrets or modify unrelated code.</w:t>
            </w:r>
          </w:p>
        </w:tc>
      </w:tr>
    </w:tbl>
    <w:p>
      <w:pPr>
        <w:spacing w:after="20"/>
        <w:widowControl w:val="1"/>
      </w:pPr>
    </w:p>
    <w:p>
      <w:pPr>
        <w:pStyle w:val="Heading2"/>
        <w:keepNext/>
        <w:spacing w:before="160" w:after="80"/>
        <w:widowControl w:val="1"/>
      </w:pPr>
      <w:r>
        <w:rPr>
          <w:rFonts w:ascii="Arial" w:hAnsi="Arial" w:eastAsia="Arial"/>
          <w:b/>
          <w:color w:val="0F766E"/>
          <w:sz w:val="26"/>
        </w:rPr>
        <w:t>E. Hermes recurring skill ideas</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2088"/>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Skill</w:t>
            </w:r>
          </w:p>
        </w:tc>
        <w:tc>
          <w:tcPr>
            <w:tcW w:type="dxa" w:w="2376"/>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Trigger</w:t>
            </w:r>
          </w:p>
        </w:tc>
        <w:tc>
          <w:tcPr>
            <w:tcW w:type="dxa" w:w="5256"/>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Output</w:t>
            </w:r>
          </w:p>
        </w:tc>
      </w:tr>
      <w:tr>
        <w:trPr>
          <w:cantSplit/>
        </w:trPr>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PRD-to-issue</w:t>
            </w:r>
          </w:p>
        </w:tc>
        <w:tc>
          <w:tcPr>
            <w:tcW w:type="dxa" w:w="237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Approved product change</w:t>
            </w:r>
          </w:p>
        </w:tc>
        <w:tc>
          <w:tcPr>
            <w:tcW w:type="dxa" w:w="525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Small issues, dependencies, acceptance criteria, and context links.</w:t>
            </w:r>
          </w:p>
        </w:tc>
      </w:tr>
      <w:tr>
        <w:trPr>
          <w:cantSplit/>
        </w:trPr>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Release readiness</w:t>
            </w:r>
          </w:p>
        </w:tc>
        <w:tc>
          <w:tcPr>
            <w:tcW w:type="dxa" w:w="237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Release candidate branch</w:t>
            </w:r>
          </w:p>
        </w:tc>
        <w:tc>
          <w:tcPr>
            <w:tcW w:type="dxa" w:w="525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Checklist status, failing tests, migrations, secrets, docs, rollback, and go/no-go report.</w:t>
            </w:r>
          </w:p>
        </w:tc>
      </w:tr>
      <w:tr>
        <w:trPr>
          <w:cantSplit/>
        </w:trPr>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Competitor/API monitor</w:t>
            </w:r>
          </w:p>
        </w:tc>
        <w:tc>
          <w:tcPr>
            <w:tcW w:type="dxa" w:w="237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Weekly or before integration work</w:t>
            </w:r>
          </w:p>
        </w:tc>
        <w:tc>
          <w:tcPr>
            <w:tcW w:type="dxa" w:w="525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Verified changes, impact, source links, and recommended action.</w:t>
            </w:r>
          </w:p>
        </w:tc>
      </w:tr>
      <w:tr>
        <w:trPr>
          <w:cantSplit/>
        </w:trPr>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Campaign workflow QA</w:t>
            </w:r>
          </w:p>
        </w:tc>
        <w:tc>
          <w:tcPr>
            <w:tcW w:type="dxa" w:w="237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Changes to content/publishing/lead logic</w:t>
            </w:r>
          </w:p>
        </w:tc>
        <w:tc>
          <w:tcPr>
            <w:tcW w:type="dxa" w:w="525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Test scenarios for approvals, duplicates, policy, takeover, retries, and attribution.</w:t>
            </w:r>
          </w:p>
        </w:tc>
      </w:tr>
      <w:tr>
        <w:trPr>
          <w:cantSplit/>
        </w:trPr>
        <w:tc>
          <w:tcPr>
            <w:tcW w:type="dxa" w:w="2088"/>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Project status</w:t>
            </w:r>
          </w:p>
        </w:tc>
        <w:tc>
          <w:tcPr>
            <w:tcW w:type="dxa" w:w="237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Daily/weekly</w:t>
            </w:r>
          </w:p>
        </w:tc>
        <w:tc>
          <w:tcPr>
            <w:tcW w:type="dxa" w:w="525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Completed work, blockers, decisions needed, risk changes, and next tasks.</w:t>
            </w:r>
          </w:p>
        </w:tc>
      </w:tr>
      <w:tr>
        <w:trPr>
          <w:cantSplit/>
        </w:trPr>
        <w:tc>
          <w:tcPr>
            <w:tcW w:type="dxa" w:w="2088"/>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Documentation sync</w:t>
            </w:r>
          </w:p>
        </w:tc>
        <w:tc>
          <w:tcPr>
            <w:tcW w:type="dxa" w:w="237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Merged PR</w:t>
            </w:r>
          </w:p>
        </w:tc>
        <w:tc>
          <w:tcPr>
            <w:tcW w:type="dxa" w:w="525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Updated changelog, architecture map, setup/runbooks, and product status.</w:t>
            </w:r>
          </w:p>
        </w:tc>
      </w:tr>
    </w:tbl>
    <w:p>
      <w:pPr>
        <w:spacing w:after="20"/>
        <w:widowControl w:val="1"/>
      </w:pPr>
    </w:p>
    <w:p>
      <w:pPr>
        <w:keepNext/>
        <w:spacing w:before="0" w:after="100"/>
        <w:widowControl w:val="1"/>
      </w:pPr>
      <w:r>
        <w:rPr>
          <w:rFonts w:ascii="Arial" w:hAnsi="Arial" w:eastAsia="Arial"/>
          <w:b/>
          <w:color w:val="0F172A"/>
          <w:sz w:val="38"/>
        </w:rPr>
        <w:t>12  Reference notes and freshness</w:t>
      </w:r>
    </w:p>
    <w:p>
      <w:pPr>
        <w:keepNext/>
        <w:spacing w:after="160"/>
        <w:widowControl w:val="1"/>
      </w:pPr>
      <w:r>
        <w:rPr>
          <w:rFonts w:ascii="Arial" w:hAnsi="Arial" w:eastAsia="Arial"/>
          <w:color w:val="0F766E"/>
          <w:sz w:val="14"/>
        </w:rPr>
        <w:t>━━━━━━━━━━━━━━━━━━━━━━━━━━━━━━━━━━━━━━━━</w:t>
      </w:r>
    </w:p>
    <w:p>
      <w:pPr>
        <w:keepNext/>
        <w:spacing w:after="160"/>
        <w:widowControl w:val="1"/>
      </w:pPr>
      <w:r>
        <w:rPr>
          <w:rFonts w:ascii="Arial" w:hAnsi="Arial" w:eastAsia="Arial"/>
          <w:i/>
          <w:color w:val="64748B"/>
          <w:sz w:val="20"/>
        </w:rPr>
        <w:t>Market features, models, APIs, and pricing change. Verify current official documentation before implementation.</w:t>
      </w:r>
    </w:p>
    <w:p>
      <w:pPr>
        <w:pStyle w:val="Heading2"/>
        <w:keepNext/>
        <w:spacing w:before="160" w:after="80"/>
        <w:widowControl w:val="1"/>
      </w:pPr>
      <w:r>
        <w:rPr>
          <w:rFonts w:ascii="Arial" w:hAnsi="Arial" w:eastAsia="Arial"/>
          <w:b/>
          <w:color w:val="0F766E"/>
          <w:sz w:val="26"/>
        </w:rPr>
        <w:t>Key reference conclusions used in this brief</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252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Reference</w:t>
            </w:r>
          </w:p>
        </w:tc>
        <w:tc>
          <w:tcPr>
            <w:tcW w:type="dxa" w:w="720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Conclusion used</w:t>
            </w:r>
          </w:p>
        </w:tc>
      </w:tr>
      <w:tr>
        <w:trPr>
          <w:cantSplit/>
        </w:trPr>
        <w:tc>
          <w:tcPr>
            <w:tcW w:type="dxa" w:w="252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OpenAI GPT-5.6</w:t>
            </w:r>
          </w:p>
        </w:tc>
        <w:tc>
          <w:tcPr>
            <w:tcW w:type="dxa" w:w="72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Sol is the flagship tier for complex professional work; Terra and Luna provide lower-cost/faster routing options.</w:t>
            </w:r>
          </w:p>
        </w:tc>
      </w:tr>
      <w:tr>
        <w:trPr>
          <w:cantSplit/>
        </w:trPr>
        <w:tc>
          <w:tcPr>
            <w:tcW w:type="dxa" w:w="252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OpenAI API billing</w:t>
            </w:r>
          </w:p>
        </w:tc>
        <w:tc>
          <w:tcPr>
            <w:tcW w:type="dxa" w:w="72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ChatGPT subscriptions and API usage are billed and managed separately.</w:t>
            </w:r>
          </w:p>
        </w:tc>
      </w:tr>
      <w:tr>
        <w:trPr>
          <w:cantSplit/>
        </w:trPr>
        <w:tc>
          <w:tcPr>
            <w:tcW w:type="dxa" w:w="252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OpenAI Agents SDK</w:t>
            </w:r>
          </w:p>
        </w:tc>
        <w:tc>
          <w:tcPr>
            <w:tcW w:type="dxa" w:w="72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Provides agent orchestration concepts including tools, handoffs, guardrails, sessions, human-in-the-loop, MCP, and tracing.</w:t>
            </w:r>
          </w:p>
        </w:tc>
      </w:tr>
      <w:tr>
        <w:trPr>
          <w:cantSplit/>
        </w:trPr>
        <w:tc>
          <w:tcPr>
            <w:tcW w:type="dxa" w:w="252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Cursor documentation</w:t>
            </w:r>
          </w:p>
        </w:tc>
        <w:tc>
          <w:tcPr>
            <w:tcW w:type="dxa" w:w="72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Project rules, AGENTS.md, skills, subagents, CLI, and hooks can provide durable coding guidance.</w:t>
            </w:r>
          </w:p>
        </w:tc>
      </w:tr>
      <w:tr>
        <w:trPr>
          <w:cantSplit/>
        </w:trPr>
        <w:tc>
          <w:tcPr>
            <w:tcW w:type="dxa" w:w="252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Hermes documentation</w:t>
            </w:r>
          </w:p>
        </w:tc>
        <w:tc>
          <w:tcPr>
            <w:tcW w:type="dxa" w:w="72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Hermes supports persistent memory, reusable skills, project context files, profiles, and a learning loop.</w:t>
            </w:r>
          </w:p>
        </w:tc>
      </w:tr>
      <w:tr>
        <w:trPr>
          <w:cantSplit/>
        </w:trPr>
        <w:tc>
          <w:tcPr>
            <w:tcW w:type="dxa" w:w="252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Ocoya</w:t>
            </w:r>
          </w:p>
        </w:tc>
        <w:tc>
          <w:tcPr>
            <w:tcW w:type="dxa" w:w="72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Positions around AI content creation, social scheduling, approvals, and collaboration.</w:t>
            </w:r>
          </w:p>
        </w:tc>
      </w:tr>
      <w:tr>
        <w:trPr>
          <w:cantSplit/>
        </w:trPr>
        <w:tc>
          <w:tcPr>
            <w:tcW w:type="dxa" w:w="252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HighLevel</w:t>
            </w:r>
          </w:p>
        </w:tc>
        <w:tc>
          <w:tcPr>
            <w:tcW w:type="dxa" w:w="720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Provides an all-in-one growth stack including CRM, social planning, ads, conversations, workflows, calendars, lead scoring, and booking.</w:t>
            </w:r>
          </w:p>
        </w:tc>
      </w:tr>
      <w:tr>
        <w:trPr>
          <w:cantSplit/>
        </w:trPr>
        <w:tc>
          <w:tcPr>
            <w:tcW w:type="dxa" w:w="252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HubSpot Breeze</w:t>
            </w:r>
          </w:p>
        </w:tc>
        <w:tc>
          <w:tcPr>
            <w:tcW w:type="dxa" w:w="720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Supports AI-assisted content plus lead capture, qualification, booking, scoring, handoff, and CRM context.</w:t>
            </w:r>
          </w:p>
        </w:tc>
      </w:tr>
    </w:tbl>
    <w:p>
      <w:pPr>
        <w:spacing w:after="20"/>
        <w:widowControl w:val="1"/>
      </w:pPr>
    </w:p>
    <w:p>
      <w:pPr>
        <w:pStyle w:val="Heading2"/>
        <w:keepNext/>
        <w:spacing w:before="160" w:after="80"/>
        <w:widowControl w:val="1"/>
      </w:pPr>
      <w:r>
        <w:rPr>
          <w:rFonts w:ascii="Arial" w:hAnsi="Arial" w:eastAsia="Arial"/>
          <w:b/>
          <w:color w:val="0F766E"/>
          <w:sz w:val="26"/>
        </w:rPr>
        <w:t>Official sources checked 13 July 2026</w:t>
      </w:r>
    </w:p>
    <w:p>
      <w:pPr>
        <w:spacing w:after="60"/>
        <w:widowControl w:val="1"/>
      </w:pPr>
      <w:r>
        <w:rPr>
          <w:rFonts w:ascii="Arial" w:hAnsi="Arial" w:eastAsia="Arial"/>
          <w:color w:val="0F172A"/>
          <w:sz w:val="17"/>
        </w:rPr>
        <w:t xml:space="preserve">• OpenAI: GPT-5.6: </w:t>
      </w:r>
      <w:hyperlink r:id="rId11">
        <w:r>
          <w:rPr>
            <w:color w:val="1D4ED8"/>
            <w:u w:val="single"/>
            <w:rFonts w:ascii="Arial" w:hAnsi="Arial"/>
          </w:rPr>
          <w:t>https://openai.com/index/gpt-5-6/</w:t>
        </w:r>
      </w:hyperlink>
    </w:p>
    <w:p>
      <w:pPr>
        <w:spacing w:after="60"/>
        <w:widowControl w:val="1"/>
      </w:pPr>
      <w:r>
        <w:rPr>
          <w:rFonts w:ascii="Arial" w:hAnsi="Arial" w:eastAsia="Arial"/>
          <w:color w:val="0F172A"/>
          <w:sz w:val="17"/>
        </w:rPr>
        <w:t xml:space="preserve">• OpenAI API: GPT-5.6 Sol model: </w:t>
      </w:r>
      <w:hyperlink r:id="rId12">
        <w:r>
          <w:rPr>
            <w:color w:val="1D4ED8"/>
            <w:u w:val="single"/>
            <w:rFonts w:ascii="Arial" w:hAnsi="Arial"/>
          </w:rPr>
          <w:t>https://developers.openai.com/api/docs/models/gpt-5.6-sol</w:t>
        </w:r>
      </w:hyperlink>
    </w:p>
    <w:p>
      <w:pPr>
        <w:spacing w:after="60"/>
        <w:widowControl w:val="1"/>
      </w:pPr>
      <w:r>
        <w:rPr>
          <w:rFonts w:ascii="Arial" w:hAnsi="Arial" w:eastAsia="Arial"/>
          <w:color w:val="0F172A"/>
          <w:sz w:val="17"/>
        </w:rPr>
        <w:t xml:space="preserve">• OpenAI Help: ChatGPT and API billing are separate: </w:t>
      </w:r>
      <w:hyperlink r:id="rId13">
        <w:r>
          <w:rPr>
            <w:color w:val="1D4ED8"/>
            <w:u w:val="single"/>
            <w:rFonts w:ascii="Arial" w:hAnsi="Arial"/>
          </w:rPr>
          <w:t>https://help.openai.com/en/articles/8156019-how-can-i-move-my-chatgpt-subscription-to-the-api</w:t>
        </w:r>
      </w:hyperlink>
    </w:p>
    <w:p>
      <w:pPr>
        <w:spacing w:after="60"/>
        <w:widowControl w:val="1"/>
      </w:pPr>
      <w:r>
        <w:rPr>
          <w:rFonts w:ascii="Arial" w:hAnsi="Arial" w:eastAsia="Arial"/>
          <w:color w:val="0F172A"/>
          <w:sz w:val="17"/>
        </w:rPr>
        <w:t xml:space="preserve">• OpenAI Agents SDK: </w:t>
      </w:r>
      <w:hyperlink r:id="rId14">
        <w:r>
          <w:rPr>
            <w:color w:val="1D4ED8"/>
            <w:u w:val="single"/>
            <w:rFonts w:ascii="Arial" w:hAnsi="Arial"/>
          </w:rPr>
          <w:t>https://openai.github.io/openai-agents-js/</w:t>
        </w:r>
      </w:hyperlink>
    </w:p>
    <w:p>
      <w:pPr>
        <w:spacing w:after="60"/>
        <w:widowControl w:val="1"/>
      </w:pPr>
      <w:r>
        <w:rPr>
          <w:rFonts w:ascii="Arial" w:hAnsi="Arial" w:eastAsia="Arial"/>
          <w:color w:val="0F172A"/>
          <w:sz w:val="17"/>
        </w:rPr>
        <w:t xml:space="preserve">• OpenAI API: image generation: </w:t>
      </w:r>
      <w:hyperlink r:id="rId15">
        <w:r>
          <w:rPr>
            <w:color w:val="1D4ED8"/>
            <w:u w:val="single"/>
            <w:rFonts w:ascii="Arial" w:hAnsi="Arial"/>
          </w:rPr>
          <w:t>https://developers.openai.com/api/docs/guides/image-generation</w:t>
        </w:r>
      </w:hyperlink>
    </w:p>
    <w:p>
      <w:pPr>
        <w:spacing w:after="60"/>
        <w:widowControl w:val="1"/>
      </w:pPr>
      <w:r>
        <w:rPr>
          <w:rFonts w:ascii="Arial" w:hAnsi="Arial" w:eastAsia="Arial"/>
          <w:color w:val="0F172A"/>
          <w:sz w:val="17"/>
        </w:rPr>
        <w:t xml:space="preserve">• Cursor documentation: </w:t>
      </w:r>
      <w:hyperlink r:id="rId16">
        <w:r>
          <w:rPr>
            <w:color w:val="1D4ED8"/>
            <w:u w:val="single"/>
            <w:rFonts w:ascii="Arial" w:hAnsi="Arial"/>
          </w:rPr>
          <w:t>https://cursor.com/docs</w:t>
        </w:r>
      </w:hyperlink>
    </w:p>
    <w:p>
      <w:pPr>
        <w:spacing w:after="60"/>
        <w:widowControl w:val="1"/>
      </w:pPr>
      <w:r>
        <w:rPr>
          <w:rFonts w:ascii="Arial" w:hAnsi="Arial" w:eastAsia="Arial"/>
          <w:color w:val="0F172A"/>
          <w:sz w:val="17"/>
        </w:rPr>
        <w:t xml:space="preserve">• Cursor rules: </w:t>
      </w:r>
      <w:hyperlink r:id="rId17">
        <w:r>
          <w:rPr>
            <w:color w:val="1D4ED8"/>
            <w:u w:val="single"/>
            <w:rFonts w:ascii="Arial" w:hAnsi="Arial"/>
          </w:rPr>
          <w:t>https://cursor.com/docs/rules</w:t>
        </w:r>
      </w:hyperlink>
    </w:p>
    <w:p>
      <w:pPr>
        <w:spacing w:after="60"/>
        <w:widowControl w:val="1"/>
      </w:pPr>
      <w:r>
        <w:rPr>
          <w:rFonts w:ascii="Arial" w:hAnsi="Arial" w:eastAsia="Arial"/>
          <w:color w:val="0F172A"/>
          <w:sz w:val="17"/>
        </w:rPr>
        <w:t xml:space="preserve">• Cursor subagents: </w:t>
      </w:r>
      <w:hyperlink r:id="rId18">
        <w:r>
          <w:rPr>
            <w:color w:val="1D4ED8"/>
            <w:u w:val="single"/>
            <w:rFonts w:ascii="Arial" w:hAnsi="Arial"/>
          </w:rPr>
          <w:t>https://cursor.com/docs/subagents</w:t>
        </w:r>
      </w:hyperlink>
    </w:p>
    <w:p>
      <w:pPr>
        <w:spacing w:after="60"/>
        <w:widowControl w:val="1"/>
      </w:pPr>
      <w:r>
        <w:rPr>
          <w:rFonts w:ascii="Arial" w:hAnsi="Arial" w:eastAsia="Arial"/>
          <w:color w:val="0F172A"/>
          <w:sz w:val="17"/>
        </w:rPr>
        <w:t xml:space="preserve">• Hermes Agent documentation: </w:t>
      </w:r>
      <w:hyperlink r:id="rId19">
        <w:r>
          <w:rPr>
            <w:color w:val="1D4ED8"/>
            <w:u w:val="single"/>
            <w:rFonts w:ascii="Arial" w:hAnsi="Arial"/>
          </w:rPr>
          <w:t>https://hermes-agent.nousresearch.com/docs/</w:t>
        </w:r>
      </w:hyperlink>
    </w:p>
    <w:p>
      <w:pPr>
        <w:spacing w:after="60"/>
        <w:widowControl w:val="1"/>
      </w:pPr>
      <w:r>
        <w:rPr>
          <w:rFonts w:ascii="Arial" w:hAnsi="Arial" w:eastAsia="Arial"/>
          <w:color w:val="0F172A"/>
          <w:sz w:val="17"/>
        </w:rPr>
        <w:t xml:space="preserve">• Hermes skills: </w:t>
      </w:r>
      <w:hyperlink r:id="rId20">
        <w:r>
          <w:rPr>
            <w:color w:val="1D4ED8"/>
            <w:u w:val="single"/>
            <w:rFonts w:ascii="Arial" w:hAnsi="Arial"/>
          </w:rPr>
          <w:t>https://hermes-agent.nousresearch.com/docs/user-guide/features/skills</w:t>
        </w:r>
      </w:hyperlink>
    </w:p>
    <w:p>
      <w:pPr>
        <w:spacing w:after="60"/>
        <w:widowControl w:val="1"/>
      </w:pPr>
      <w:r>
        <w:rPr>
          <w:rFonts w:ascii="Arial" w:hAnsi="Arial" w:eastAsia="Arial"/>
          <w:color w:val="0F172A"/>
          <w:sz w:val="17"/>
        </w:rPr>
        <w:t xml:space="preserve">• Hermes persistent memory: </w:t>
      </w:r>
      <w:hyperlink r:id="rId21">
        <w:r>
          <w:rPr>
            <w:color w:val="1D4ED8"/>
            <w:u w:val="single"/>
            <w:rFonts w:ascii="Arial" w:hAnsi="Arial"/>
          </w:rPr>
          <w:t>https://hermes-agent.nousresearch.com/docs/user-guide/features/memory</w:t>
        </w:r>
      </w:hyperlink>
    </w:p>
    <w:p>
      <w:pPr>
        <w:spacing w:after="60"/>
        <w:widowControl w:val="1"/>
      </w:pPr>
      <w:r>
        <w:rPr>
          <w:rFonts w:ascii="Arial" w:hAnsi="Arial" w:eastAsia="Arial"/>
          <w:color w:val="0F172A"/>
          <w:sz w:val="17"/>
        </w:rPr>
        <w:t xml:space="preserve">• Hermes prompt/context assembly: </w:t>
      </w:r>
      <w:hyperlink r:id="rId22">
        <w:r>
          <w:rPr>
            <w:color w:val="1D4ED8"/>
            <w:u w:val="single"/>
            <w:rFonts w:ascii="Arial" w:hAnsi="Arial"/>
          </w:rPr>
          <w:t>https://hermes-agent.nousresearch.com/docs/developer-guide/prompt-assembly</w:t>
        </w:r>
      </w:hyperlink>
    </w:p>
    <w:p>
      <w:pPr>
        <w:spacing w:after="60"/>
        <w:widowControl w:val="1"/>
      </w:pPr>
      <w:r>
        <w:rPr>
          <w:rFonts w:ascii="Arial" w:hAnsi="Arial" w:eastAsia="Arial"/>
          <w:color w:val="0F172A"/>
          <w:sz w:val="17"/>
        </w:rPr>
        <w:t xml:space="preserve">• Ocoya: </w:t>
      </w:r>
      <w:hyperlink r:id="rId23">
        <w:r>
          <w:rPr>
            <w:color w:val="1D4ED8"/>
            <w:u w:val="single"/>
            <w:rFonts w:ascii="Arial" w:hAnsi="Arial"/>
          </w:rPr>
          <w:t>https://www.ocoya.com/</w:t>
        </w:r>
      </w:hyperlink>
    </w:p>
    <w:p>
      <w:pPr>
        <w:spacing w:after="60"/>
        <w:widowControl w:val="1"/>
      </w:pPr>
      <w:r>
        <w:rPr>
          <w:rFonts w:ascii="Arial" w:hAnsi="Arial" w:eastAsia="Arial"/>
          <w:color w:val="0F172A"/>
          <w:sz w:val="17"/>
        </w:rPr>
        <w:t xml:space="preserve">• HighLevel: </w:t>
      </w:r>
      <w:hyperlink r:id="rId24">
        <w:r>
          <w:rPr>
            <w:color w:val="1D4ED8"/>
            <w:u w:val="single"/>
            <w:rFonts w:ascii="Arial" w:hAnsi="Arial"/>
          </w:rPr>
          <w:t>https://www.gohighlevel.com/</w:t>
        </w:r>
      </w:hyperlink>
    </w:p>
    <w:p>
      <w:pPr>
        <w:spacing w:after="60"/>
        <w:widowControl w:val="1"/>
      </w:pPr>
      <w:r>
        <w:rPr>
          <w:rFonts w:ascii="Arial" w:hAnsi="Arial" w:eastAsia="Arial"/>
          <w:color w:val="0F172A"/>
          <w:sz w:val="17"/>
        </w:rPr>
        <w:t xml:space="preserve">• HighLevel AI: </w:t>
      </w:r>
      <w:hyperlink r:id="rId25">
        <w:r>
          <w:rPr>
            <w:color w:val="1D4ED8"/>
            <w:u w:val="single"/>
            <w:rFonts w:ascii="Arial" w:hAnsi="Arial"/>
          </w:rPr>
          <w:t>https://www.gohighlevel.com/ai</w:t>
        </w:r>
      </w:hyperlink>
    </w:p>
    <w:p>
      <w:pPr>
        <w:spacing w:after="60"/>
        <w:widowControl w:val="1"/>
      </w:pPr>
      <w:r>
        <w:rPr>
          <w:rFonts w:ascii="Arial" w:hAnsi="Arial" w:eastAsia="Arial"/>
          <w:color w:val="0F172A"/>
          <w:sz w:val="17"/>
        </w:rPr>
        <w:t xml:space="preserve">• HubSpot Breeze lead capture and qualification: </w:t>
      </w:r>
      <w:hyperlink r:id="rId26">
        <w:r>
          <w:rPr>
            <w:color w:val="1D4ED8"/>
            <w:u w:val="single"/>
            <w:rFonts w:ascii="Arial" w:hAnsi="Arial"/>
          </w:rPr>
          <w:t>https://www.hubspot.com/products/artificial-intelligence/use-cases/capture-and-qualify-marketing-leads</w:t>
        </w:r>
      </w:hyperlink>
    </w:p>
    <w:p>
      <w:pPr>
        <w:spacing w:after="60"/>
        <w:widowControl w:val="1"/>
      </w:pPr>
      <w:r>
        <w:rPr>
          <w:rFonts w:ascii="Arial" w:hAnsi="Arial" w:eastAsia="Arial"/>
          <w:color w:val="0F172A"/>
          <w:sz w:val="17"/>
        </w:rPr>
        <w:t xml:space="preserve">• HubSpot Breeze AI agents: </w:t>
      </w:r>
      <w:hyperlink r:id="rId27">
        <w:r>
          <w:rPr>
            <w:color w:val="1D4ED8"/>
            <w:u w:val="single"/>
            <w:rFonts w:ascii="Arial" w:hAnsi="Arial"/>
          </w:rPr>
          <w:t>https://www.hubspot.com/products/artificial-intelligence/breeze-ai-agents</w:t>
        </w:r>
      </w:hyperlink>
    </w:p>
    <w:tbl>
      <w:tblPr>
        <w:tblW w:type="auto" w:w="0"/>
        <w:jc w:val="center"/>
        <w:tblLayout w:type="fixed"/>
        <w:tblLook w:firstColumn="1" w:firstRow="1" w:lastColumn="0" w:lastRow="0" w:noHBand="0" w:noVBand="1" w:val="04A0"/>
      </w:tblPr>
      <w:tblGrid>
        <w:gridCol w:w="9835"/>
      </w:tblGrid>
      <w:tr>
        <w:trPr>
          <w:cantSplit/>
        </w:trPr>
        <w:tc>
          <w:tcPr>
            <w:tcW w:type="dxa" w:w="9720"/>
            <w:shd w:fill="FEF3C7"/>
            <w:tcMar>
              <w:top w:w="120" w:type="dxa"/>
              <w:start w:w="150" w:type="dxa"/>
              <w:bottom w:w="120" w:type="dxa"/>
              <w:end w:w="150" w:type="dxa"/>
            </w:tcMar>
            <w:tcBorders>
              <w:top w:val="nil"/>
              <w:start w:val="single" w:sz="18" w:color="B45309"/>
              <w:bottom w:val="nil"/>
              <w:end w:val="nil"/>
            </w:tcBorders>
          </w:tcPr>
          <w:p>
            <w:pPr>
              <w:spacing w:after="60"/>
            </w:pPr>
            <w:r>
              <w:rPr>
                <w:rFonts w:ascii="Arial" w:hAnsi="Arial" w:eastAsia="Arial"/>
                <w:b/>
                <w:color w:val="B45309"/>
                <w:sz w:val="21"/>
              </w:rPr>
              <w:t>Freshness rule for the project</w:t>
            </w:r>
          </w:p>
          <w:p>
            <w:pPr>
              <w:spacing w:after="0"/>
            </w:pPr>
            <w:r>
              <w:rPr>
                <w:rFonts w:ascii="Arial" w:hAnsi="Arial" w:eastAsia="Arial"/>
                <w:color w:val="0F172A"/>
                <w:sz w:val="19"/>
              </w:rPr>
              <w:t>Before implementing an external integration or selecting a model, verify the current official API documentation, permissions, review process, pricing, rate limits, deprecations, regional availability, and policy constraints. Save the verified result and date in docs/research or an ADR.</w:t>
            </w:r>
          </w:p>
        </w:tc>
      </w:tr>
    </w:tbl>
    <w:p>
      <w:pPr>
        <w:spacing w:after="20"/>
        <w:widowControl w:val="1"/>
      </w:pPr>
    </w:p>
    <w:p>
      <w:pPr>
        <w:pStyle w:val="Heading2"/>
        <w:keepNext/>
        <w:spacing w:before="160" w:after="80"/>
        <w:widowControl w:val="1"/>
      </w:pPr>
      <w:r>
        <w:rPr>
          <w:rFonts w:ascii="Arial" w:hAnsi="Arial" w:eastAsia="Arial"/>
          <w:b/>
          <w:color w:val="0F766E"/>
          <w:sz w:val="26"/>
        </w:rPr>
        <w:t>Living-document ownership</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2376"/>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Artifact</w:t>
            </w:r>
          </w:p>
        </w:tc>
        <w:tc>
          <w:tcPr>
            <w:tcW w:type="dxa" w:w="3384"/>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Source of truth</w:t>
            </w:r>
          </w:p>
        </w:tc>
        <w:tc>
          <w:tcPr>
            <w:tcW w:type="dxa" w:w="3960"/>
            <w:shd w:fill="0F172A"/>
            <w:tcMar>
              <w:top w:w="85" w:type="dxa"/>
              <w:start w:w="75" w:type="dxa"/>
              <w:bottom w:w="85" w:type="dxa"/>
              <w:end w:w="75" w:type="dxa"/>
            </w:tcMar>
            <w:tcBorders>
              <w:top w:val="single" w:sz="5" w:color="0F172A"/>
              <w:start w:val="single" w:sz="5" w:color="FFFFFF"/>
              <w:bottom w:val="single" w:sz="5" w:color="0F172A"/>
              <w:end w:val="single" w:sz="5" w:color="FFFFFF"/>
            </w:tcBorders>
            <w:vAlign w:val="center"/>
          </w:tcPr>
          <w:p>
            <w:pPr>
              <w:jc w:val="left"/>
            </w:pPr>
            <w:r>
              <w:rPr>
                <w:rFonts w:ascii="Arial" w:hAnsi="Arial" w:eastAsia="Arial"/>
                <w:b/>
                <w:color w:val="FFFFFF"/>
                <w:sz w:val="17"/>
              </w:rPr>
              <w:t>Update trigger</w:t>
            </w:r>
          </w:p>
        </w:tc>
      </w:tr>
      <w:tr>
        <w:trPr>
          <w:cantSplit/>
        </w:trPr>
        <w:tc>
          <w:tcPr>
            <w:tcW w:type="dxa" w:w="237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Master brief / PRD</w:t>
            </w:r>
          </w:p>
        </w:tc>
        <w:tc>
          <w:tcPr>
            <w:tcW w:type="dxa" w:w="338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docs/product/</w:t>
            </w:r>
          </w:p>
        </w:tc>
        <w:tc>
          <w:tcPr>
            <w:tcW w:type="dxa" w:w="396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Major product decision or change in target customer/outcome.</w:t>
            </w:r>
          </w:p>
        </w:tc>
      </w:tr>
      <w:tr>
        <w:trPr>
          <w:cantSplit/>
        </w:trPr>
        <w:tc>
          <w:tcPr>
            <w:tcW w:type="dxa" w:w="237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Architecture</w:t>
            </w:r>
          </w:p>
        </w:tc>
        <w:tc>
          <w:tcPr>
            <w:tcW w:type="dxa" w:w="338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docs/architecture/ + ADRs</w:t>
            </w:r>
          </w:p>
        </w:tc>
        <w:tc>
          <w:tcPr>
            <w:tcW w:type="dxa" w:w="396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New service, integration, data boundary, or material tradeoff.</w:t>
            </w:r>
          </w:p>
        </w:tc>
      </w:tr>
      <w:tr>
        <w:trPr>
          <w:cantSplit/>
        </w:trPr>
        <w:tc>
          <w:tcPr>
            <w:tcW w:type="dxa" w:w="237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Execution backlog</w:t>
            </w:r>
          </w:p>
        </w:tc>
        <w:tc>
          <w:tcPr>
            <w:tcW w:type="dxa" w:w="338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GitHub issues/project</w:t>
            </w:r>
          </w:p>
        </w:tc>
        <w:tc>
          <w:tcPr>
            <w:tcW w:type="dxa" w:w="396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Approved roadmap or scope change.</w:t>
            </w:r>
          </w:p>
        </w:tc>
      </w:tr>
      <w:tr>
        <w:trPr>
          <w:cantSplit/>
        </w:trPr>
        <w:tc>
          <w:tcPr>
            <w:tcW w:type="dxa" w:w="237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Agent instructions</w:t>
            </w:r>
          </w:p>
        </w:tc>
        <w:tc>
          <w:tcPr>
            <w:tcW w:type="dxa" w:w="338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AGENTS.md, .cursor/rules, .hermes.md</w:t>
            </w:r>
          </w:p>
        </w:tc>
        <w:tc>
          <w:tcPr>
            <w:tcW w:type="dxa" w:w="396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New development convention, tool boundary, or recurring failure.</w:t>
            </w:r>
          </w:p>
        </w:tc>
      </w:tr>
      <w:tr>
        <w:trPr>
          <w:cantSplit/>
        </w:trPr>
        <w:tc>
          <w:tcPr>
            <w:tcW w:type="dxa" w:w="2376"/>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Runbooks</w:t>
            </w:r>
          </w:p>
        </w:tc>
        <w:tc>
          <w:tcPr>
            <w:tcW w:type="dxa" w:w="3384"/>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docs/runbooks/</w:t>
            </w:r>
          </w:p>
        </w:tc>
        <w:tc>
          <w:tcPr>
            <w:tcW w:type="dxa" w:w="3960"/>
            <w:shd w:fill="FFFFFF"/>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New operational workflow, incident, integration, or release process.</w:t>
            </w:r>
          </w:p>
        </w:tc>
      </w:tr>
      <w:tr>
        <w:trPr>
          <w:cantSplit/>
        </w:trPr>
        <w:tc>
          <w:tcPr>
            <w:tcW w:type="dxa" w:w="2376"/>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color w:val="0F172A"/>
                <w:sz w:val="17"/>
              </w:rPr>
              <w:t>Research</w:t>
            </w:r>
          </w:p>
        </w:tc>
        <w:tc>
          <w:tcPr>
            <w:tcW w:type="dxa" w:w="3384"/>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docs/research/</w:t>
            </w:r>
          </w:p>
        </w:tc>
        <w:tc>
          <w:tcPr>
            <w:tcW w:type="dxa" w:w="3960"/>
            <w:shd w:fill="F8FAFC"/>
            <w:tcMar>
              <w:top w:w="78" w:type="dxa"/>
              <w:start w:w="72" w:type="dxa"/>
              <w:bottom w:w="78" w:type="dxa"/>
              <w:end w:w="72" w:type="dxa"/>
            </w:tcMar>
            <w:tcBorders>
              <w:top w:val="single" w:sz="4" w:color="CBD5E1"/>
              <w:start w:val="single" w:sz="4" w:color="CBD5E1"/>
              <w:bottom w:val="single" w:sz="4" w:color="CBD5E1"/>
              <w:end w:val="single" w:sz="4" w:color="CBD5E1"/>
            </w:tcBorders>
            <w:vAlign w:val="top"/>
          </w:tcPr>
          <w:p>
            <w:pPr>
              <w:spacing w:after="0"/>
            </w:pPr>
            <w:r>
              <w:rPr>
                <w:rFonts w:ascii="Arial" w:hAnsi="Arial" w:eastAsia="Arial"/>
                <w:b w:val="0"/>
                <w:color w:val="0F172A"/>
                <w:sz w:val="17"/>
              </w:rPr>
              <w:t>Competitor/API/model validation or market interview.</w:t>
            </w:r>
          </w:p>
        </w:tc>
      </w:tr>
    </w:tbl>
    <w:p>
      <w:pPr>
        <w:spacing w:after="20"/>
        <w:widowControl w:val="1"/>
      </w:pPr>
    </w:p>
    <w:p>
      <w:pPr>
        <w:spacing w:before="200"/>
        <w:jc w:val="center"/>
        <w:widowControl w:val="1"/>
      </w:pPr>
      <w:r>
        <w:rPr>
          <w:rFonts w:ascii="Arial" w:hAnsi="Arial" w:eastAsia="Arial"/>
          <w:b/>
          <w:color w:val="0F766E"/>
          <w:sz w:val="19"/>
        </w:rPr>
        <w:t>THE PRODUCT PROMISE</w:t>
      </w:r>
    </w:p>
    <w:p>
      <w:pPr>
        <w:spacing w:after="80"/>
        <w:jc w:val="center"/>
        <w:widowControl w:val="1"/>
      </w:pPr>
      <w:r>
        <w:rPr>
          <w:rFonts w:ascii="Arial" w:hAnsi="Arial" w:eastAsia="Arial"/>
          <w:b/>
          <w:color w:val="0F172A"/>
          <w:sz w:val="32"/>
        </w:rPr>
        <w:t>We do not help businesses post more content.</w:t>
      </w:r>
    </w:p>
    <w:p>
      <w:pPr>
        <w:jc w:val="center"/>
        <w:widowControl w:val="1"/>
      </w:pPr>
      <w:r>
        <w:rPr>
          <w:rFonts w:ascii="Arial" w:hAnsi="Arial" w:eastAsia="Arial"/>
          <w:b/>
          <w:color w:val="0F766E"/>
          <w:sz w:val="32"/>
        </w:rPr>
        <w:t>We help them turn campaigns into qualified customers.</w:t>
      </w:r>
    </w:p>
    <w:sectPr w:rsidR="00FC693F" w:rsidRPr="0006063C" w:rsidSect="00034616">
      <w:headerReference w:type="default" r:id="rId9"/>
      <w:footerReference w:type="default" r:id="rId10"/>
      <w:pgSz w:w="11909" w:h="16834"/>
      <w:pgMar w:top="893"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32" w:val="right"/>
      </w:tabs>
      <w:jc w:val="right"/>
    </w:pPr>
    <w:r>
      <w:rPr>
        <w:rFonts w:ascii="Arial" w:hAnsi="Arial" w:eastAsia="Arial"/>
        <w:color w:val="64748B"/>
        <w:sz w:val="15"/>
      </w:rPr>
      <w:t>CONFIDENTIAL WORKING DOCUMENT  •  13 JULY 2026</w:t>
    </w:r>
    <w:r>
      <w:tab/>
    </w:r>
    <w:r>
      <w:rPr>
        <w:rFonts w:ascii="Arial" w:hAnsi="Arial" w:eastAsia="Arial"/>
        <w:color w:val="64748B"/>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E2E8F0"/>
      </w:pBdr>
    </w:pPr>
    <w:r>
      <w:rPr>
        <w:rFonts w:ascii="Arial" w:hAnsi="Arial" w:eastAsia="Arial"/>
        <w:b/>
        <w:color w:val="64748B"/>
        <w:sz w:val="15"/>
      </w:rPr>
      <w:t>AI GROWTH AGENCY  /  MASTER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D4ED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rial" w:hAnsi="Arial"/>
      <w:color w:val="0F172A"/>
      <w:sz w:val="20"/>
    </w:rPr>
  </w:style>
  <w:style w:type="paragraph" w:styleId="ListBullet2">
    <w:name w:val="List Bullet 2"/>
    <w:basedOn w:val="Normal"/>
    <w:uiPriority w:val="99"/>
    <w:unhideWhenUsed/>
    <w:rsid w:val="00326F90"/>
    <w:pPr>
      <w:numPr>
        <w:numId w:val="2"/>
      </w:numPr>
      <w:spacing w:after="50"/>
      <w:contextualSpacing/>
    </w:pPr>
    <w:rPr>
      <w:rFonts w:ascii="Arial" w:hAnsi="Arial"/>
      <w:color w:val="0F172A"/>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rial" w:hAnsi="Arial"/>
      <w:color w:val="0F172A"/>
      <w:sz w:val="20"/>
    </w:rPr>
  </w:style>
  <w:style w:type="paragraph" w:styleId="ListNumber2">
    <w:name w:val="List Number 2"/>
    <w:basedOn w:val="Normal"/>
    <w:uiPriority w:val="99"/>
    <w:unhideWhenUsed/>
    <w:rsid w:val="0029639D"/>
    <w:pPr>
      <w:numPr>
        <w:numId w:val="6"/>
      </w:numPr>
      <w:spacing w:after="50"/>
      <w:contextualSpacing/>
    </w:pPr>
    <w:rPr>
      <w:rFonts w:ascii="Arial" w:hAnsi="Arial"/>
      <w:color w:val="0F172A"/>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ai.com/index/gpt-5-6/" TargetMode="External"/><Relationship Id="rId12" Type="http://schemas.openxmlformats.org/officeDocument/2006/relationships/hyperlink" Target="https://developers.openai.com/api/docs/models/gpt-5.6-sol" TargetMode="External"/><Relationship Id="rId13" Type="http://schemas.openxmlformats.org/officeDocument/2006/relationships/hyperlink" Target="https://help.openai.com/en/articles/8156019-how-can-i-move-my-chatgpt-subscription-to-the-api" TargetMode="External"/><Relationship Id="rId14" Type="http://schemas.openxmlformats.org/officeDocument/2006/relationships/hyperlink" Target="https://openai.github.io/openai-agents-js/" TargetMode="External"/><Relationship Id="rId15" Type="http://schemas.openxmlformats.org/officeDocument/2006/relationships/hyperlink" Target="https://developers.openai.com/api/docs/guides/image-generation" TargetMode="External"/><Relationship Id="rId16" Type="http://schemas.openxmlformats.org/officeDocument/2006/relationships/hyperlink" Target="https://cursor.com/docs" TargetMode="External"/><Relationship Id="rId17" Type="http://schemas.openxmlformats.org/officeDocument/2006/relationships/hyperlink" Target="https://cursor.com/docs/rules" TargetMode="External"/><Relationship Id="rId18" Type="http://schemas.openxmlformats.org/officeDocument/2006/relationships/hyperlink" Target="https://cursor.com/docs/subagents" TargetMode="External"/><Relationship Id="rId19" Type="http://schemas.openxmlformats.org/officeDocument/2006/relationships/hyperlink" Target="https://hermes-agent.nousresearch.com/docs/" TargetMode="External"/><Relationship Id="rId20" Type="http://schemas.openxmlformats.org/officeDocument/2006/relationships/hyperlink" Target="https://hermes-agent.nousresearch.com/docs/user-guide/features/skills" TargetMode="External"/><Relationship Id="rId21" Type="http://schemas.openxmlformats.org/officeDocument/2006/relationships/hyperlink" Target="https://hermes-agent.nousresearch.com/docs/user-guide/features/memory" TargetMode="External"/><Relationship Id="rId22" Type="http://schemas.openxmlformats.org/officeDocument/2006/relationships/hyperlink" Target="https://hermes-agent.nousresearch.com/docs/developer-guide/prompt-assembly" TargetMode="External"/><Relationship Id="rId23" Type="http://schemas.openxmlformats.org/officeDocument/2006/relationships/hyperlink" Target="https://www.ocoya.com/" TargetMode="External"/><Relationship Id="rId24" Type="http://schemas.openxmlformats.org/officeDocument/2006/relationships/hyperlink" Target="https://www.gohighlevel.com/" TargetMode="External"/><Relationship Id="rId25" Type="http://schemas.openxmlformats.org/officeDocument/2006/relationships/hyperlink" Target="https://www.gohighlevel.com/ai" TargetMode="External"/><Relationship Id="rId26" Type="http://schemas.openxmlformats.org/officeDocument/2006/relationships/hyperlink" Target="https://www.hubspot.com/products/artificial-intelligence/use-cases/capture-and-qualify-marketing-leads" TargetMode="External"/><Relationship Id="rId27" Type="http://schemas.openxmlformats.org/officeDocument/2006/relationships/hyperlink" Target="https://www.hubspot.com/products/artificial-intelligence/breeze-ai-ag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Growth Agency - Master Product and Execution Brief</dc:title>
  <dc:subject>Business strategy, product requirements, technical architecture, AI agent workflows, and development plan</dc:subject>
  <dc:creator>OpenAI</dc:creator>
  <cp:keywords>AI growth agency, marketing automation, content scheduling, lead management, GPT-5.6 Sol, Cursor, Hermes</cp:keywords>
  <dc:description>Prepared as a living project brief for strategy discussion and execution.</dc:description>
  <cp:lastModifiedBy/>
  <cp:revision>1</cp:revision>
  <dcterms:created xsi:type="dcterms:W3CDTF">2013-12-23T23:15:00Z</dcterms:created>
  <dcterms:modified xsi:type="dcterms:W3CDTF">2013-12-23T23:15:00Z</dcterms:modified>
  <cp:category/>
</cp:coreProperties>
</file>